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406EACEA"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832149">
        <w:rPr>
          <w:rFonts w:ascii="Arial" w:eastAsia="MS Mincho" w:hAnsi="Arial" w:cs="Arial"/>
          <w:b/>
          <w:sz w:val="24"/>
          <w:szCs w:val="24"/>
          <w:lang w:val="en-US"/>
        </w:rPr>
        <w:t>5</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E1790B">
        <w:rPr>
          <w:rFonts w:ascii="Arial" w:eastAsia="MS Mincho" w:hAnsi="Arial" w:cs="Arial"/>
          <w:b/>
          <w:sz w:val="24"/>
          <w:szCs w:val="24"/>
          <w:lang w:val="en-US"/>
        </w:rPr>
        <w:t>2</w:t>
      </w:r>
      <w:r w:rsidR="00250361">
        <w:rPr>
          <w:rFonts w:ascii="Arial" w:eastAsia="MS Mincho" w:hAnsi="Arial" w:cs="Arial"/>
          <w:b/>
          <w:sz w:val="24"/>
          <w:szCs w:val="24"/>
          <w:lang w:val="en-US"/>
        </w:rPr>
        <w:t>1</w:t>
      </w:r>
      <w:r w:rsidR="00C62918">
        <w:rPr>
          <w:rFonts w:ascii="Arial" w:eastAsia="MS Mincho" w:hAnsi="Arial" w:cs="Arial"/>
          <w:b/>
          <w:sz w:val="24"/>
          <w:szCs w:val="24"/>
          <w:lang w:val="en-US"/>
        </w:rPr>
        <w:t>9268</w:t>
      </w:r>
    </w:p>
    <w:p w14:paraId="58CE81B1" w14:textId="29150690" w:rsidR="001E3B15" w:rsidRPr="005F5603" w:rsidRDefault="00832149" w:rsidP="001E3B15">
      <w:pPr>
        <w:pStyle w:val="a"/>
        <w:rPr>
          <w:rFonts w:eastAsia="SimSun"/>
          <w:bCs w:val="0"/>
          <w:sz w:val="24"/>
          <w:lang w:eastAsia="zh-CN"/>
        </w:rPr>
      </w:pPr>
      <w:bookmarkStart w:id="4" w:name="OLE_LINK1"/>
      <w:r>
        <w:rPr>
          <w:rFonts w:eastAsia="SimSun"/>
          <w:bCs w:val="0"/>
          <w:sz w:val="24"/>
          <w:lang w:eastAsia="zh-CN"/>
        </w:rPr>
        <w:t>Toulouse, France</w:t>
      </w:r>
      <w:r w:rsidR="00693733">
        <w:rPr>
          <w:rFonts w:eastAsia="SimSun"/>
          <w:bCs w:val="0"/>
          <w:sz w:val="24"/>
          <w:lang w:eastAsia="zh-CN"/>
        </w:rPr>
        <w:t xml:space="preserve">, </w:t>
      </w:r>
      <w:r w:rsidR="001C74E1">
        <w:rPr>
          <w:rFonts w:eastAsia="SimSun"/>
          <w:bCs w:val="0"/>
          <w:sz w:val="24"/>
          <w:lang w:eastAsia="zh-CN"/>
        </w:rPr>
        <w:t>1</w:t>
      </w:r>
      <w:r>
        <w:rPr>
          <w:rFonts w:eastAsia="SimSun"/>
          <w:bCs w:val="0"/>
          <w:sz w:val="24"/>
          <w:lang w:eastAsia="zh-CN"/>
        </w:rPr>
        <w:t>4</w:t>
      </w:r>
      <w:r w:rsidR="00835CD8">
        <w:rPr>
          <w:rFonts w:eastAsia="SimSun"/>
          <w:bCs w:val="0"/>
          <w:sz w:val="24"/>
          <w:lang w:eastAsia="zh-CN"/>
        </w:rPr>
        <w:t xml:space="preserve"> </w:t>
      </w:r>
      <w:r w:rsidR="00FE444D">
        <w:rPr>
          <w:rFonts w:eastAsia="SimSun"/>
          <w:bCs w:val="0"/>
          <w:sz w:val="24"/>
          <w:lang w:eastAsia="zh-CN"/>
        </w:rPr>
        <w:t xml:space="preserve">– </w:t>
      </w:r>
      <w:r w:rsidR="00BD3F4A">
        <w:rPr>
          <w:rFonts w:eastAsia="SimSun"/>
          <w:bCs w:val="0"/>
          <w:sz w:val="24"/>
          <w:lang w:eastAsia="zh-CN"/>
        </w:rPr>
        <w:t>1</w:t>
      </w:r>
      <w:r>
        <w:rPr>
          <w:rFonts w:eastAsia="SimSun"/>
          <w:bCs w:val="0"/>
          <w:sz w:val="24"/>
          <w:lang w:eastAsia="zh-CN"/>
        </w:rPr>
        <w:t>8</w:t>
      </w:r>
      <w:r w:rsidR="00FE444D">
        <w:rPr>
          <w:rFonts w:eastAsia="SimSun"/>
          <w:bCs w:val="0"/>
          <w:sz w:val="24"/>
          <w:lang w:eastAsia="zh-CN"/>
        </w:rPr>
        <w:t xml:space="preserve"> </w:t>
      </w:r>
      <w:r>
        <w:rPr>
          <w:rFonts w:eastAsia="SimSun"/>
          <w:bCs w:val="0"/>
          <w:sz w:val="24"/>
          <w:lang w:eastAsia="zh-CN"/>
        </w:rPr>
        <w:t>Novem</w:t>
      </w:r>
      <w:r w:rsidR="00BD3F4A">
        <w:rPr>
          <w:rFonts w:eastAsia="SimSun"/>
          <w:bCs w:val="0"/>
          <w:sz w:val="24"/>
          <w:lang w:eastAsia="zh-CN"/>
        </w:rPr>
        <w:t>ber</w:t>
      </w:r>
      <w:r w:rsidR="001E3B15">
        <w:rPr>
          <w:rFonts w:eastAsia="SimSun"/>
          <w:bCs w:val="0"/>
          <w:sz w:val="24"/>
          <w:lang w:eastAsia="zh-CN"/>
        </w:rPr>
        <w:t xml:space="preserve"> </w:t>
      </w:r>
      <w:r w:rsidR="001E3B15" w:rsidRPr="009F4EEE">
        <w:rPr>
          <w:rFonts w:eastAsia="SimSun"/>
          <w:bCs w:val="0"/>
          <w:sz w:val="24"/>
          <w:lang w:eastAsia="zh-CN"/>
        </w:rPr>
        <w:t>20</w:t>
      </w:r>
      <w:bookmarkEnd w:id="4"/>
      <w:r w:rsidR="00FE444D">
        <w:rPr>
          <w:rFonts w:eastAsia="SimSun"/>
          <w:bCs w:val="0"/>
          <w:sz w:val="24"/>
          <w:lang w:eastAsia="zh-CN"/>
        </w:rPr>
        <w:t>2</w:t>
      </w:r>
      <w:r w:rsidR="00E1790B">
        <w:rPr>
          <w:rFonts w:eastAsia="SimSun"/>
          <w:bCs w:val="0"/>
          <w:sz w:val="24"/>
          <w:lang w:eastAsia="zh-CN"/>
        </w:rPr>
        <w:t>2</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7B6CB18F"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1C74E1">
        <w:rPr>
          <w:rFonts w:ascii="Arial" w:hAnsi="Arial" w:cs="Arial"/>
          <w:b/>
          <w:sz w:val="22"/>
          <w:szCs w:val="22"/>
        </w:rPr>
        <w:t>Discussion</w:t>
      </w:r>
      <w:r w:rsidR="0044416E">
        <w:rPr>
          <w:rFonts w:ascii="Arial" w:hAnsi="Arial" w:cs="Arial"/>
          <w:b/>
          <w:sz w:val="22"/>
          <w:szCs w:val="22"/>
        </w:rPr>
        <w:t xml:space="preserve"> on </w:t>
      </w:r>
      <w:r w:rsidR="00B079FF">
        <w:rPr>
          <w:rFonts w:ascii="Arial" w:hAnsi="Arial" w:cs="Arial"/>
          <w:b/>
          <w:sz w:val="22"/>
          <w:szCs w:val="22"/>
        </w:rPr>
        <w:t>the duty cycle scheme</w:t>
      </w:r>
    </w:p>
    <w:p w14:paraId="7CF36F6C" w14:textId="68E5FF45"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843743">
        <w:rPr>
          <w:rFonts w:ascii="Arial" w:hAnsi="Arial" w:cs="Arial"/>
          <w:color w:val="000000" w:themeColor="text1"/>
          <w:sz w:val="22"/>
          <w:szCs w:val="22"/>
        </w:rPr>
        <w:t>7</w:t>
      </w:r>
      <w:r w:rsidR="00CB331D" w:rsidRPr="00693733">
        <w:rPr>
          <w:rFonts w:ascii="Arial" w:hAnsi="Arial" w:cs="Arial"/>
          <w:color w:val="000000" w:themeColor="text1"/>
          <w:sz w:val="22"/>
          <w:szCs w:val="22"/>
        </w:rPr>
        <w:t>.</w:t>
      </w:r>
      <w:r w:rsidR="00843743">
        <w:rPr>
          <w:rFonts w:ascii="Arial" w:hAnsi="Arial" w:cs="Arial"/>
          <w:color w:val="000000" w:themeColor="text1"/>
          <w:sz w:val="22"/>
          <w:szCs w:val="22"/>
        </w:rPr>
        <w:t>21</w:t>
      </w:r>
      <w:r w:rsidR="009C392C">
        <w:rPr>
          <w:rFonts w:ascii="Arial" w:hAnsi="Arial" w:cs="Arial"/>
          <w:color w:val="000000" w:themeColor="text1"/>
          <w:sz w:val="22"/>
          <w:szCs w:val="22"/>
        </w:rPr>
        <w:t>.</w:t>
      </w:r>
      <w:r w:rsidR="00843743">
        <w:rPr>
          <w:rFonts w:ascii="Arial" w:hAnsi="Arial" w:cs="Arial"/>
          <w:color w:val="000000" w:themeColor="text1"/>
          <w:sz w:val="22"/>
          <w:szCs w:val="22"/>
        </w:rPr>
        <w:t>2</w:t>
      </w:r>
    </w:p>
    <w:p w14:paraId="22066D89" w14:textId="7CA606B5"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B079FF">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44A7086C" w14:textId="16657BE7" w:rsidR="000F7612" w:rsidRDefault="00B079FF" w:rsidP="000F7612">
      <w:pPr>
        <w:rPr>
          <w:color w:val="000000" w:themeColor="text1"/>
          <w:lang w:eastAsia="zh-CN"/>
        </w:rPr>
      </w:pPr>
      <w:r>
        <w:rPr>
          <w:color w:val="000000" w:themeColor="text1"/>
          <w:lang w:eastAsia="zh-CN"/>
        </w:rPr>
        <w:t>Some potential issues related to the existing duty cycle scheme were discussed in the last meeting. And it was agreed to further consider the following options [1]:</w:t>
      </w:r>
    </w:p>
    <w:p w14:paraId="647D44B5" w14:textId="77777777" w:rsidR="00B079FF" w:rsidRPr="002B4DEE" w:rsidRDefault="00B079FF" w:rsidP="00B079FF">
      <w:pPr>
        <w:pStyle w:val="ListParagraph"/>
        <w:numPr>
          <w:ilvl w:val="0"/>
          <w:numId w:val="23"/>
        </w:numPr>
        <w:overflowPunct w:val="0"/>
        <w:autoSpaceDE w:val="0"/>
        <w:autoSpaceDN w:val="0"/>
        <w:adjustRightInd w:val="0"/>
        <w:contextualSpacing w:val="0"/>
        <w:textAlignment w:val="baseline"/>
        <w:rPr>
          <w:i/>
          <w:lang w:val="en-US" w:eastAsia="zh-CN"/>
        </w:rPr>
      </w:pPr>
      <w:r w:rsidRPr="002B4DEE">
        <w:rPr>
          <w:rFonts w:hint="eastAsia"/>
          <w:i/>
          <w:lang w:val="en-US" w:eastAsia="zh-CN"/>
        </w:rPr>
        <w:t>Option1</w:t>
      </w:r>
      <w:r w:rsidRPr="002B4DEE">
        <w:rPr>
          <w:rFonts w:hint="eastAsia"/>
          <w:i/>
          <w:lang w:val="en-US" w:eastAsia="zh-CN"/>
        </w:rPr>
        <w:t>：</w:t>
      </w:r>
      <w:r w:rsidRPr="002B4DEE">
        <w:rPr>
          <w:rFonts w:hint="eastAsia"/>
          <w:i/>
          <w:lang w:val="en-US" w:eastAsia="zh-CN"/>
        </w:rPr>
        <w:t>Restrict maxUplinkDutyCycle-PC2-FR1 to PC2 UE only, maxUplinkDutyCycle-PC1dot5-MPE-FR1-r16 for PC1.5 UE only, and not to differentiate UE type.</w:t>
      </w:r>
    </w:p>
    <w:p w14:paraId="34C1AF78" w14:textId="77777777" w:rsidR="00B079FF" w:rsidRPr="002B4DEE" w:rsidRDefault="00B079FF" w:rsidP="00B079FF">
      <w:pPr>
        <w:pStyle w:val="ListParagraph"/>
        <w:numPr>
          <w:ilvl w:val="0"/>
          <w:numId w:val="23"/>
        </w:numPr>
        <w:overflowPunct w:val="0"/>
        <w:autoSpaceDE w:val="0"/>
        <w:autoSpaceDN w:val="0"/>
        <w:adjustRightInd w:val="0"/>
        <w:contextualSpacing w:val="0"/>
        <w:textAlignment w:val="baseline"/>
        <w:rPr>
          <w:i/>
          <w:lang w:val="en-US" w:eastAsia="zh-CN"/>
        </w:rPr>
      </w:pPr>
      <w:r w:rsidRPr="002B4DEE">
        <w:rPr>
          <w:rFonts w:hint="eastAsia"/>
          <w:i/>
          <w:lang w:val="en-US" w:eastAsia="zh-CN"/>
        </w:rPr>
        <w:t>Option2</w:t>
      </w:r>
      <w:r w:rsidRPr="002B4DEE">
        <w:rPr>
          <w:rFonts w:hint="eastAsia"/>
          <w:i/>
          <w:lang w:val="en-US" w:eastAsia="zh-CN"/>
        </w:rPr>
        <w:t>：</w:t>
      </w:r>
      <w:r w:rsidRPr="002B4DEE">
        <w:rPr>
          <w:rFonts w:hint="eastAsia"/>
          <w:i/>
          <w:lang w:val="en-US" w:eastAsia="zh-CN"/>
        </w:rPr>
        <w:t xml:space="preserve">Restrict maxUplinkDutyCycle-PC2-FR1 to PC2 UE only, and add maxUplinkDutyCycle-PC1dot5 for PC1.5 handheld UE.  </w:t>
      </w:r>
    </w:p>
    <w:p w14:paraId="05754EA9" w14:textId="77777777" w:rsidR="00B079FF" w:rsidRPr="002B4DEE" w:rsidRDefault="00B079FF" w:rsidP="00B079FF">
      <w:pPr>
        <w:pStyle w:val="ListParagraph"/>
        <w:numPr>
          <w:ilvl w:val="0"/>
          <w:numId w:val="23"/>
        </w:numPr>
        <w:overflowPunct w:val="0"/>
        <w:autoSpaceDE w:val="0"/>
        <w:autoSpaceDN w:val="0"/>
        <w:adjustRightInd w:val="0"/>
        <w:contextualSpacing w:val="0"/>
        <w:textAlignment w:val="baseline"/>
        <w:rPr>
          <w:i/>
          <w:lang w:val="en-US" w:eastAsia="zh-CN"/>
        </w:rPr>
      </w:pPr>
      <w:r w:rsidRPr="002B4DEE">
        <w:rPr>
          <w:rFonts w:hint="eastAsia"/>
          <w:i/>
          <w:lang w:val="en-US" w:eastAsia="zh-CN"/>
        </w:rPr>
        <w:t>Option</w:t>
      </w:r>
      <w:r w:rsidRPr="002B4DEE">
        <w:rPr>
          <w:i/>
          <w:lang w:val="en-US" w:eastAsia="zh-CN"/>
        </w:rPr>
        <w:t>3</w:t>
      </w:r>
      <w:r w:rsidRPr="002B4DEE">
        <w:rPr>
          <w:rFonts w:hint="eastAsia"/>
          <w:i/>
          <w:lang w:val="en-US" w:eastAsia="zh-CN"/>
        </w:rPr>
        <w:t>：</w:t>
      </w:r>
      <w:r w:rsidRPr="002B4DEE">
        <w:rPr>
          <w:i/>
          <w:lang w:val="en-US" w:eastAsia="zh-CN"/>
        </w:rPr>
        <w:t>Send LS to RAN2 to change the description of maxUplinkDutyCycle-PC2-FR1 in RAN2 spec and align it with RAN4 usage.</w:t>
      </w:r>
    </w:p>
    <w:p w14:paraId="4C8C5594" w14:textId="293E0371" w:rsidR="00A64570" w:rsidRDefault="00AC58FB" w:rsidP="00514F67">
      <w:pPr>
        <w:rPr>
          <w:color w:val="000000" w:themeColor="text1"/>
          <w:lang w:eastAsia="zh-CN"/>
        </w:rPr>
      </w:pPr>
      <w:r>
        <w:rPr>
          <w:color w:val="000000" w:themeColor="text1"/>
          <w:lang w:eastAsia="zh-CN"/>
        </w:rPr>
        <w:t xml:space="preserve">In the following, we </w:t>
      </w:r>
      <w:r w:rsidR="00B01C08">
        <w:rPr>
          <w:color w:val="000000" w:themeColor="text1"/>
          <w:lang w:eastAsia="zh-CN"/>
        </w:rPr>
        <w:t xml:space="preserve">share our </w:t>
      </w:r>
      <w:r w:rsidR="00FA52F7">
        <w:rPr>
          <w:color w:val="000000" w:themeColor="text1"/>
          <w:lang w:eastAsia="zh-CN"/>
        </w:rPr>
        <w:t>further analysis and proposals for the issue.</w:t>
      </w:r>
    </w:p>
    <w:p w14:paraId="71CDB37F" w14:textId="24377B01" w:rsidR="00306974" w:rsidRPr="000F7612" w:rsidRDefault="003A4D57" w:rsidP="000F7612">
      <w:pPr>
        <w:pStyle w:val="Heading1"/>
        <w:tabs>
          <w:tab w:val="num" w:pos="432"/>
        </w:tabs>
        <w:ind w:left="0" w:firstLine="0"/>
        <w:rPr>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219B2ABB" w14:textId="6B05685B" w:rsidR="00AF56F0" w:rsidRDefault="00821DE7" w:rsidP="003233C6">
      <w:pPr>
        <w:rPr>
          <w:lang w:val="en-US"/>
        </w:rPr>
      </w:pPr>
      <w:r>
        <w:rPr>
          <w:lang w:val="en-US"/>
        </w:rPr>
        <w:t xml:space="preserve">After examining the power class fallback mechanism in clause 6.2.10 of TS 38.101-1 [2], no flaws are </w:t>
      </w:r>
      <w:r w:rsidR="003A0AFF">
        <w:rPr>
          <w:lang w:val="en-US"/>
        </w:rPr>
        <w:t>identified</w:t>
      </w:r>
      <w:r>
        <w:rPr>
          <w:lang w:val="en-US"/>
        </w:rPr>
        <w:t>. For the sake of backward compatibility, it’d be better to leave it as it is.</w:t>
      </w:r>
    </w:p>
    <w:p w14:paraId="6F67263F" w14:textId="3B7054C7" w:rsidR="00CB036E" w:rsidRPr="00F37FC9" w:rsidRDefault="00CB036E" w:rsidP="003233C6">
      <w:pPr>
        <w:rPr>
          <w:b/>
          <w:lang w:val="en-US"/>
        </w:rPr>
      </w:pPr>
      <w:r w:rsidRPr="00F37FC9">
        <w:rPr>
          <w:b/>
          <w:lang w:val="en-US"/>
        </w:rPr>
        <w:t>Observation 1: For the sake of backward compatibility, there is no need to change the power class fallback mechanism in clause 6.2.10 of TS 38.101-1.</w:t>
      </w:r>
    </w:p>
    <w:p w14:paraId="5F712005" w14:textId="710F61E4" w:rsidR="00CB036E" w:rsidRDefault="00CB036E" w:rsidP="003233C6">
      <w:pPr>
        <w:rPr>
          <w:rStyle w:val="fontstyle01"/>
          <w:rFonts w:hint="eastAsia"/>
          <w:i w:val="0"/>
        </w:rPr>
      </w:pPr>
      <w:r>
        <w:rPr>
          <w:lang w:val="en-US"/>
        </w:rPr>
        <w:t xml:space="preserve">On the other hand, we tend to agree that the current wording in TS 38.306 that describes the IE </w:t>
      </w:r>
      <w:r>
        <w:rPr>
          <w:rStyle w:val="fontstyle01"/>
        </w:rPr>
        <w:t xml:space="preserve">maxUplinkDutyCycle-PC2-FR1 </w:t>
      </w:r>
      <w:r w:rsidRPr="00CB036E">
        <w:rPr>
          <w:rStyle w:val="fontstyle01"/>
          <w:i w:val="0"/>
        </w:rPr>
        <w:t>and the IE</w:t>
      </w:r>
      <w:r>
        <w:rPr>
          <w:rStyle w:val="fontstyle01"/>
        </w:rPr>
        <w:t xml:space="preserve"> maxUplinkDutyCycle-PC1dot5-MPE-FR1 </w:t>
      </w:r>
      <w:r w:rsidRPr="00CB036E">
        <w:rPr>
          <w:rStyle w:val="fontstyle01"/>
          <w:i w:val="0"/>
        </w:rPr>
        <w:t>could be misleading.</w:t>
      </w:r>
      <w:r>
        <w:rPr>
          <w:rStyle w:val="fontstyle01"/>
          <w:i w:val="0"/>
        </w:rPr>
        <w:t xml:space="preserve"> Consider that:</w:t>
      </w:r>
    </w:p>
    <w:p w14:paraId="132589D7" w14:textId="529D7A55" w:rsidR="00CB036E" w:rsidRDefault="00CB036E" w:rsidP="003233C6">
      <w:pPr>
        <w:rPr>
          <w:b/>
          <w:lang w:val="en-US"/>
        </w:rPr>
      </w:pPr>
      <w:r w:rsidRPr="00F37FC9">
        <w:rPr>
          <w:b/>
          <w:lang w:val="en-US"/>
        </w:rPr>
        <w:t>Observation 2: A UE which support</w:t>
      </w:r>
      <w:r w:rsidR="00CF13AF">
        <w:rPr>
          <w:b/>
          <w:lang w:val="en-US"/>
        </w:rPr>
        <w:t>s</w:t>
      </w:r>
      <w:r w:rsidRPr="00F37FC9">
        <w:rPr>
          <w:b/>
          <w:lang w:val="en-US"/>
        </w:rPr>
        <w:t xml:space="preserve"> power class 1.5 can also support power class 2.</w:t>
      </w:r>
    </w:p>
    <w:p w14:paraId="22AB94DC" w14:textId="7E6AEE42" w:rsidR="00BF4647" w:rsidRDefault="00BF4647" w:rsidP="00BF4647">
      <w:pPr>
        <w:rPr>
          <w:rStyle w:val="fontstyle01"/>
          <w:rFonts w:hint="eastAsia"/>
          <w:i w:val="0"/>
        </w:rPr>
      </w:pPr>
      <w:r w:rsidRPr="00F37FC9">
        <w:rPr>
          <w:b/>
          <w:lang w:val="en-US"/>
        </w:rPr>
        <w:t>Observation 3: T</w:t>
      </w:r>
      <w:r w:rsidRPr="00F37FC9">
        <w:rPr>
          <w:rStyle w:val="fontstyle01"/>
          <w:b/>
          <w:i w:val="0"/>
        </w:rPr>
        <w:t>he IE</w:t>
      </w:r>
      <w:r w:rsidRPr="00F37FC9">
        <w:rPr>
          <w:rStyle w:val="fontstyle01"/>
          <w:b/>
        </w:rPr>
        <w:t xml:space="preserve"> </w:t>
      </w:r>
      <w:r w:rsidRPr="00BF4647">
        <w:rPr>
          <w:rStyle w:val="fontstyle01"/>
          <w:b/>
        </w:rPr>
        <w:t>maxUplinkDutyCycle-PC2-FR1</w:t>
      </w:r>
      <w:r>
        <w:rPr>
          <w:rStyle w:val="fontstyle01"/>
        </w:rPr>
        <w:t xml:space="preserve"> </w:t>
      </w:r>
      <w:r w:rsidRPr="00F37FC9">
        <w:rPr>
          <w:rStyle w:val="fontstyle01"/>
          <w:b/>
          <w:i w:val="0"/>
        </w:rPr>
        <w:t xml:space="preserve">was created for aiding </w:t>
      </w:r>
      <w:r>
        <w:rPr>
          <w:rStyle w:val="fontstyle01"/>
          <w:b/>
          <w:i w:val="0"/>
        </w:rPr>
        <w:t>SAR</w:t>
      </w:r>
      <w:r w:rsidRPr="00F37FC9">
        <w:rPr>
          <w:rStyle w:val="fontstyle01"/>
          <w:b/>
          <w:i w:val="0"/>
        </w:rPr>
        <w:t xml:space="preserve"> compliance for high power UEs which typically operate </w:t>
      </w:r>
      <w:r>
        <w:rPr>
          <w:rStyle w:val="fontstyle01"/>
          <w:b/>
          <w:i w:val="0"/>
        </w:rPr>
        <w:t>close to</w:t>
      </w:r>
      <w:r w:rsidRPr="00F37FC9">
        <w:rPr>
          <w:rStyle w:val="fontstyle01"/>
          <w:b/>
          <w:i w:val="0"/>
        </w:rPr>
        <w:t xml:space="preserve"> the human body, such as </w:t>
      </w:r>
      <w:r>
        <w:rPr>
          <w:rStyle w:val="fontstyle01"/>
          <w:b/>
          <w:i w:val="0"/>
        </w:rPr>
        <w:t>smartphones</w:t>
      </w:r>
      <w:r w:rsidRPr="00F37FC9">
        <w:rPr>
          <w:rStyle w:val="fontstyle01"/>
          <w:b/>
          <w:i w:val="0"/>
        </w:rPr>
        <w:t>.</w:t>
      </w:r>
    </w:p>
    <w:p w14:paraId="489BED70" w14:textId="674362F2" w:rsidR="00CB036E" w:rsidRDefault="00CB036E" w:rsidP="003233C6">
      <w:pPr>
        <w:rPr>
          <w:rStyle w:val="fontstyle01"/>
          <w:rFonts w:hint="eastAsia"/>
          <w:i w:val="0"/>
        </w:rPr>
      </w:pPr>
      <w:r w:rsidRPr="00F37FC9">
        <w:rPr>
          <w:b/>
          <w:lang w:val="en-US"/>
        </w:rPr>
        <w:t xml:space="preserve">Observation </w:t>
      </w:r>
      <w:r w:rsidR="00BF4647">
        <w:rPr>
          <w:b/>
          <w:lang w:val="en-US"/>
        </w:rPr>
        <w:t>4</w:t>
      </w:r>
      <w:r w:rsidRPr="00F37FC9">
        <w:rPr>
          <w:b/>
          <w:lang w:val="en-US"/>
        </w:rPr>
        <w:t>: T</w:t>
      </w:r>
      <w:r w:rsidRPr="00F37FC9">
        <w:rPr>
          <w:rStyle w:val="fontstyle01"/>
          <w:b/>
          <w:i w:val="0"/>
        </w:rPr>
        <w:t>he IE</w:t>
      </w:r>
      <w:r w:rsidRPr="00F37FC9">
        <w:rPr>
          <w:rStyle w:val="fontstyle01"/>
          <w:b/>
        </w:rPr>
        <w:t xml:space="preserve"> maxUplinkDutyCycle-PC1dot5-MPE-FR1</w:t>
      </w:r>
      <w:r w:rsidR="00BF4647">
        <w:rPr>
          <w:rStyle w:val="fontstyle01"/>
          <w:b/>
        </w:rPr>
        <w:t xml:space="preserve"> </w:t>
      </w:r>
      <w:r w:rsidRPr="00F37FC9">
        <w:rPr>
          <w:rStyle w:val="fontstyle01"/>
          <w:b/>
          <w:i w:val="0"/>
        </w:rPr>
        <w:t>was created for aiding MPE compliance for high power UEs which typically operate at a distance away from the human body, such as FWA, vehicular UEs, etc.</w:t>
      </w:r>
    </w:p>
    <w:p w14:paraId="5D13BA1E" w14:textId="76DBC1FA" w:rsidR="00CB036E" w:rsidRDefault="00CB036E" w:rsidP="003233C6">
      <w:pPr>
        <w:rPr>
          <w:lang w:val="en-US"/>
        </w:rPr>
      </w:pPr>
      <w:r>
        <w:rPr>
          <w:lang w:val="en-US"/>
        </w:rPr>
        <w:t>For the above reasons, it is proposed to make some minor revisions to the wording in TS 38.306 as below.</w:t>
      </w:r>
    </w:p>
    <w:p w14:paraId="67AD887C" w14:textId="1585198D" w:rsidR="00CB036E" w:rsidRPr="00F37FC9" w:rsidRDefault="00CB036E" w:rsidP="003233C6">
      <w:pPr>
        <w:rPr>
          <w:b/>
          <w:lang w:val="en-US"/>
        </w:rPr>
      </w:pPr>
      <w:r w:rsidRPr="00F37FC9">
        <w:rPr>
          <w:b/>
          <w:lang w:val="en-US"/>
        </w:rPr>
        <w:t>Proposal 1: Request RAN2 to make the following revisions</w:t>
      </w:r>
      <w:r w:rsidR="00F37FC9" w:rsidRPr="00F37FC9">
        <w:rPr>
          <w:b/>
          <w:lang w:val="en-US"/>
        </w:rPr>
        <w:t xml:space="preserve"> to TS 38.306</w:t>
      </w:r>
      <w:r w:rsidR="00FF0228">
        <w:rPr>
          <w:b/>
          <w:lang w:val="en-US"/>
        </w:rPr>
        <w:t>:</w:t>
      </w:r>
    </w:p>
    <w:tbl>
      <w:tblPr>
        <w:tblW w:w="9640" w:type="dxa"/>
        <w:tblCellMar>
          <w:left w:w="0" w:type="dxa"/>
          <w:right w:w="0" w:type="dxa"/>
        </w:tblCellMar>
        <w:tblLook w:val="04A0" w:firstRow="1" w:lastRow="0" w:firstColumn="1" w:lastColumn="0" w:noHBand="0" w:noVBand="1"/>
      </w:tblPr>
      <w:tblGrid>
        <w:gridCol w:w="6949"/>
        <w:gridCol w:w="703"/>
        <w:gridCol w:w="562"/>
        <w:gridCol w:w="703"/>
        <w:gridCol w:w="723"/>
      </w:tblGrid>
      <w:tr w:rsidR="00F37FC9" w14:paraId="1F0DA76B" w14:textId="77777777" w:rsidTr="00F37FC9">
        <w:trPr>
          <w:trHeight w:val="133"/>
        </w:trPr>
        <w:tc>
          <w:tcPr>
            <w:tcW w:w="6920" w:type="dxa"/>
            <w:tcBorders>
              <w:top w:val="single" w:sz="8" w:space="0" w:color="808080"/>
              <w:left w:val="single" w:sz="8" w:space="0" w:color="808080"/>
              <w:bottom w:val="single" w:sz="8" w:space="0" w:color="808080"/>
              <w:right w:val="single" w:sz="8" w:space="0" w:color="808080"/>
            </w:tcBorders>
            <w:tcMar>
              <w:top w:w="15" w:type="dxa"/>
              <w:left w:w="108" w:type="dxa"/>
              <w:bottom w:w="0" w:type="dxa"/>
              <w:right w:w="108" w:type="dxa"/>
            </w:tcMar>
            <w:hideMark/>
          </w:tcPr>
          <w:p w14:paraId="10C8333B" w14:textId="77777777" w:rsidR="00F37FC9" w:rsidRDefault="00F37FC9">
            <w:pPr>
              <w:overflowPunct w:val="0"/>
              <w:rPr>
                <w:lang w:eastAsia="zh-CN"/>
              </w:rPr>
            </w:pPr>
            <w:r>
              <w:rPr>
                <w:rFonts w:ascii="Arial" w:hAnsi="Arial" w:cs="Arial"/>
                <w:b/>
                <w:bCs/>
                <w:i/>
                <w:iCs/>
                <w:color w:val="000000"/>
                <w:sz w:val="18"/>
                <w:szCs w:val="18"/>
              </w:rPr>
              <w:t>maxUplinkDutyCycle-PC2-FR1</w:t>
            </w:r>
          </w:p>
          <w:p w14:paraId="6B62094A" w14:textId="77777777" w:rsidR="00F37FC9" w:rsidRDefault="00F37FC9">
            <w:pPr>
              <w:overflowPunct w:val="0"/>
            </w:pPr>
            <w:r>
              <w:rPr>
                <w:rFonts w:ascii="Arial" w:hAnsi="Arial" w:cs="Arial"/>
                <w:color w:val="000000"/>
                <w:sz w:val="18"/>
                <w:szCs w:val="18"/>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w:t>
            </w:r>
            <w:r>
              <w:rPr>
                <w:rFonts w:ascii="Arial" w:hAnsi="Arial" w:cs="Arial"/>
                <w:strike/>
                <w:color w:val="000000"/>
                <w:sz w:val="18"/>
                <w:szCs w:val="18"/>
                <w:highlight w:val="yellow"/>
              </w:rPr>
              <w:t xml:space="preserve">power class 2 </w:t>
            </w:r>
            <w:r w:rsidRPr="00CF13AF">
              <w:rPr>
                <w:rFonts w:ascii="Arial" w:hAnsi="Arial" w:cs="Arial"/>
                <w:color w:val="FF0000"/>
                <w:sz w:val="18"/>
                <w:szCs w:val="18"/>
                <w:highlight w:val="yellow"/>
              </w:rPr>
              <w:t>UE supporting power class 2</w:t>
            </w:r>
            <w:r>
              <w:rPr>
                <w:rFonts w:ascii="Arial" w:hAnsi="Arial" w:cs="Arial"/>
                <w:color w:val="000000"/>
                <w:sz w:val="18"/>
                <w:szCs w:val="18"/>
              </w:rPr>
              <w:t xml:space="preserve"> as specified in clause 6.2.1 of TS 38.101-1 [2]. If the field is absent, 50% </w:t>
            </w:r>
            <w:r>
              <w:rPr>
                <w:rFonts w:ascii="Arial" w:hAnsi="Arial" w:cs="Arial"/>
                <w:color w:val="000000"/>
                <w:sz w:val="18"/>
                <w:szCs w:val="18"/>
              </w:rPr>
              <w:lastRenderedPageBreak/>
              <w:t>shall be applied. Value n60 corresponds to 60%, value n70 corresponds to 70% and so on. This capability is not applicable to IAB-MT.</w:t>
            </w:r>
          </w:p>
        </w:tc>
        <w:tc>
          <w:tcPr>
            <w:tcW w:w="700" w:type="dxa"/>
            <w:tcBorders>
              <w:top w:val="single" w:sz="8" w:space="0" w:color="808080"/>
              <w:left w:val="nil"/>
              <w:bottom w:val="single" w:sz="8" w:space="0" w:color="808080"/>
              <w:right w:val="single" w:sz="8" w:space="0" w:color="808080"/>
            </w:tcBorders>
            <w:tcMar>
              <w:top w:w="15" w:type="dxa"/>
              <w:left w:w="108" w:type="dxa"/>
              <w:bottom w:w="0" w:type="dxa"/>
              <w:right w:w="108" w:type="dxa"/>
            </w:tcMar>
            <w:hideMark/>
          </w:tcPr>
          <w:p w14:paraId="2B0B5831" w14:textId="77777777" w:rsidR="00F37FC9" w:rsidRDefault="00F37FC9">
            <w:pPr>
              <w:overflowPunct w:val="0"/>
              <w:jc w:val="center"/>
            </w:pPr>
            <w:r>
              <w:rPr>
                <w:rFonts w:ascii="Arial" w:hAnsi="Arial" w:cs="Arial"/>
                <w:color w:val="000000"/>
                <w:sz w:val="18"/>
                <w:szCs w:val="18"/>
              </w:rPr>
              <w:lastRenderedPageBreak/>
              <w:t>Band</w:t>
            </w:r>
          </w:p>
        </w:tc>
        <w:tc>
          <w:tcPr>
            <w:tcW w:w="560" w:type="dxa"/>
            <w:tcBorders>
              <w:top w:val="single" w:sz="8" w:space="0" w:color="808080"/>
              <w:left w:val="nil"/>
              <w:bottom w:val="single" w:sz="8" w:space="0" w:color="808080"/>
              <w:right w:val="single" w:sz="8" w:space="0" w:color="808080"/>
            </w:tcBorders>
            <w:tcMar>
              <w:top w:w="15" w:type="dxa"/>
              <w:left w:w="108" w:type="dxa"/>
              <w:bottom w:w="0" w:type="dxa"/>
              <w:right w:w="108" w:type="dxa"/>
            </w:tcMar>
            <w:hideMark/>
          </w:tcPr>
          <w:p w14:paraId="6D431076" w14:textId="77777777" w:rsidR="00F37FC9" w:rsidRDefault="00F37FC9">
            <w:pPr>
              <w:overflowPunct w:val="0"/>
              <w:jc w:val="center"/>
            </w:pPr>
            <w:r>
              <w:rPr>
                <w:rFonts w:ascii="Arial" w:hAnsi="Arial" w:cs="Arial"/>
                <w:color w:val="000000"/>
                <w:sz w:val="18"/>
                <w:szCs w:val="18"/>
              </w:rPr>
              <w:t>No</w:t>
            </w:r>
          </w:p>
        </w:tc>
        <w:tc>
          <w:tcPr>
            <w:tcW w:w="700" w:type="dxa"/>
            <w:tcBorders>
              <w:top w:val="single" w:sz="8" w:space="0" w:color="808080"/>
              <w:left w:val="nil"/>
              <w:bottom w:val="single" w:sz="8" w:space="0" w:color="808080"/>
              <w:right w:val="single" w:sz="8" w:space="0" w:color="808080"/>
            </w:tcBorders>
            <w:tcMar>
              <w:top w:w="15" w:type="dxa"/>
              <w:left w:w="108" w:type="dxa"/>
              <w:bottom w:w="0" w:type="dxa"/>
              <w:right w:w="108" w:type="dxa"/>
            </w:tcMar>
            <w:hideMark/>
          </w:tcPr>
          <w:p w14:paraId="40DB75B4" w14:textId="77777777" w:rsidR="00F37FC9" w:rsidRDefault="00F37FC9">
            <w:pPr>
              <w:overflowPunct w:val="0"/>
              <w:jc w:val="center"/>
            </w:pPr>
            <w:r>
              <w:rPr>
                <w:rFonts w:ascii="Arial" w:hAnsi="Arial" w:cs="Arial"/>
                <w:color w:val="000000"/>
                <w:sz w:val="18"/>
                <w:szCs w:val="18"/>
              </w:rPr>
              <w:t>N/A</w:t>
            </w:r>
          </w:p>
        </w:tc>
        <w:tc>
          <w:tcPr>
            <w:tcW w:w="720" w:type="dxa"/>
            <w:tcBorders>
              <w:top w:val="single" w:sz="8" w:space="0" w:color="808080"/>
              <w:left w:val="nil"/>
              <w:bottom w:val="single" w:sz="8" w:space="0" w:color="808080"/>
              <w:right w:val="single" w:sz="8" w:space="0" w:color="808080"/>
            </w:tcBorders>
            <w:tcMar>
              <w:top w:w="15" w:type="dxa"/>
              <w:left w:w="108" w:type="dxa"/>
              <w:bottom w:w="0" w:type="dxa"/>
              <w:right w:w="108" w:type="dxa"/>
            </w:tcMar>
            <w:hideMark/>
          </w:tcPr>
          <w:p w14:paraId="3E3F5787" w14:textId="77777777" w:rsidR="00F37FC9" w:rsidRDefault="00F37FC9">
            <w:pPr>
              <w:overflowPunct w:val="0"/>
              <w:jc w:val="center"/>
            </w:pPr>
            <w:r>
              <w:rPr>
                <w:rFonts w:ascii="Arial" w:hAnsi="Arial" w:cs="Arial"/>
                <w:color w:val="000000"/>
                <w:sz w:val="18"/>
                <w:szCs w:val="18"/>
              </w:rPr>
              <w:t>FR1 only</w:t>
            </w:r>
          </w:p>
        </w:tc>
      </w:tr>
      <w:tr w:rsidR="00F37FC9" w14:paraId="206B04A3" w14:textId="77777777" w:rsidTr="00F37FC9">
        <w:tc>
          <w:tcPr>
            <w:tcW w:w="6920" w:type="dxa"/>
            <w:tcBorders>
              <w:top w:val="nil"/>
              <w:left w:val="single" w:sz="8" w:space="0" w:color="808080"/>
              <w:bottom w:val="single" w:sz="8" w:space="0" w:color="808080"/>
              <w:right w:val="single" w:sz="8" w:space="0" w:color="808080"/>
            </w:tcBorders>
            <w:tcMar>
              <w:top w:w="15" w:type="dxa"/>
              <w:left w:w="108" w:type="dxa"/>
              <w:bottom w:w="0" w:type="dxa"/>
              <w:right w:w="108" w:type="dxa"/>
            </w:tcMar>
            <w:hideMark/>
          </w:tcPr>
          <w:p w14:paraId="69DC7163" w14:textId="77777777" w:rsidR="00F37FC9" w:rsidRDefault="00F37FC9">
            <w:pPr>
              <w:overflowPunct w:val="0"/>
            </w:pPr>
            <w:r>
              <w:rPr>
                <w:rFonts w:ascii="Arial" w:hAnsi="Arial" w:cs="Arial"/>
                <w:b/>
                <w:bCs/>
                <w:i/>
                <w:iCs/>
                <w:color w:val="000000"/>
                <w:sz w:val="18"/>
                <w:szCs w:val="18"/>
              </w:rPr>
              <w:t>maxUplinkDutyCycle-PC1dot5-MPE-FR1-r16</w:t>
            </w:r>
          </w:p>
          <w:p w14:paraId="48F6C1AD" w14:textId="77777777" w:rsidR="00F37FC9" w:rsidRDefault="00F37FC9">
            <w:pPr>
              <w:overflowPunct w:val="0"/>
            </w:pPr>
            <w:r>
              <w:rPr>
                <w:rFonts w:ascii="Arial" w:hAnsi="Arial" w:cs="Arial"/>
                <w:color w:val="000000"/>
                <w:sz w:val="18"/>
                <w:szCs w:val="18"/>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UE shall mitigate MPE autonomously by P-MPR or by other means and no restriction on scheduled uplink duty cycle is needed </w:t>
            </w:r>
            <w:r w:rsidRPr="00CF13AF">
              <w:rPr>
                <w:rFonts w:ascii="Arial" w:hAnsi="Arial" w:cs="Arial"/>
                <w:color w:val="FF0000"/>
                <w:sz w:val="18"/>
                <w:szCs w:val="18"/>
                <w:highlight w:val="yellow"/>
              </w:rPr>
              <w:t>for MPE compliance</w:t>
            </w:r>
            <w:r>
              <w:rPr>
                <w:rFonts w:ascii="Arial" w:hAnsi="Arial" w:cs="Arial"/>
                <w:color w:val="000000"/>
                <w:sz w:val="18"/>
                <w:szCs w:val="18"/>
                <w:highlight w:val="yellow"/>
              </w:rPr>
              <w:t>.</w:t>
            </w:r>
          </w:p>
        </w:tc>
        <w:tc>
          <w:tcPr>
            <w:tcW w:w="700" w:type="dxa"/>
            <w:tcBorders>
              <w:top w:val="nil"/>
              <w:left w:val="nil"/>
              <w:bottom w:val="single" w:sz="8" w:space="0" w:color="808080"/>
              <w:right w:val="single" w:sz="8" w:space="0" w:color="808080"/>
            </w:tcBorders>
            <w:tcMar>
              <w:top w:w="15" w:type="dxa"/>
              <w:left w:w="108" w:type="dxa"/>
              <w:bottom w:w="0" w:type="dxa"/>
              <w:right w:w="108" w:type="dxa"/>
            </w:tcMar>
            <w:hideMark/>
          </w:tcPr>
          <w:p w14:paraId="3D70D41A" w14:textId="77777777" w:rsidR="00F37FC9" w:rsidRDefault="00F37FC9">
            <w:pPr>
              <w:overflowPunct w:val="0"/>
              <w:jc w:val="center"/>
            </w:pPr>
            <w:r>
              <w:rPr>
                <w:rFonts w:ascii="Arial" w:hAnsi="Arial" w:cs="Arial"/>
                <w:color w:val="000000"/>
                <w:sz w:val="18"/>
                <w:szCs w:val="18"/>
              </w:rPr>
              <w:t>Band</w:t>
            </w:r>
          </w:p>
        </w:tc>
        <w:tc>
          <w:tcPr>
            <w:tcW w:w="560" w:type="dxa"/>
            <w:tcBorders>
              <w:top w:val="nil"/>
              <w:left w:val="nil"/>
              <w:bottom w:val="single" w:sz="8" w:space="0" w:color="808080"/>
              <w:right w:val="single" w:sz="8" w:space="0" w:color="808080"/>
            </w:tcBorders>
            <w:tcMar>
              <w:top w:w="15" w:type="dxa"/>
              <w:left w:w="108" w:type="dxa"/>
              <w:bottom w:w="0" w:type="dxa"/>
              <w:right w:w="108" w:type="dxa"/>
            </w:tcMar>
            <w:hideMark/>
          </w:tcPr>
          <w:p w14:paraId="2C85C383" w14:textId="77777777" w:rsidR="00F37FC9" w:rsidRDefault="00F37FC9">
            <w:pPr>
              <w:overflowPunct w:val="0"/>
              <w:jc w:val="center"/>
            </w:pPr>
            <w:r>
              <w:rPr>
                <w:rFonts w:ascii="Arial" w:hAnsi="Arial" w:cs="Arial"/>
                <w:color w:val="000000"/>
                <w:sz w:val="18"/>
                <w:szCs w:val="18"/>
              </w:rPr>
              <w:t>No</w:t>
            </w:r>
          </w:p>
        </w:tc>
        <w:tc>
          <w:tcPr>
            <w:tcW w:w="700" w:type="dxa"/>
            <w:tcBorders>
              <w:top w:val="nil"/>
              <w:left w:val="nil"/>
              <w:bottom w:val="single" w:sz="8" w:space="0" w:color="808080"/>
              <w:right w:val="single" w:sz="8" w:space="0" w:color="808080"/>
            </w:tcBorders>
            <w:tcMar>
              <w:top w:w="15" w:type="dxa"/>
              <w:left w:w="108" w:type="dxa"/>
              <w:bottom w:w="0" w:type="dxa"/>
              <w:right w:w="108" w:type="dxa"/>
            </w:tcMar>
            <w:hideMark/>
          </w:tcPr>
          <w:p w14:paraId="22AA38CE" w14:textId="77777777" w:rsidR="00F37FC9" w:rsidRDefault="00F37FC9">
            <w:pPr>
              <w:overflowPunct w:val="0"/>
              <w:jc w:val="center"/>
            </w:pPr>
            <w:r>
              <w:rPr>
                <w:rFonts w:ascii="Arial" w:hAnsi="Arial" w:cs="Arial"/>
                <w:color w:val="000000"/>
                <w:sz w:val="18"/>
                <w:szCs w:val="18"/>
              </w:rPr>
              <w:t>N/A</w:t>
            </w:r>
          </w:p>
        </w:tc>
        <w:tc>
          <w:tcPr>
            <w:tcW w:w="720" w:type="dxa"/>
            <w:tcBorders>
              <w:top w:val="nil"/>
              <w:left w:val="nil"/>
              <w:bottom w:val="single" w:sz="8" w:space="0" w:color="808080"/>
              <w:right w:val="single" w:sz="8" w:space="0" w:color="808080"/>
            </w:tcBorders>
            <w:tcMar>
              <w:top w:w="15" w:type="dxa"/>
              <w:left w:w="108" w:type="dxa"/>
              <w:bottom w:w="0" w:type="dxa"/>
              <w:right w:w="108" w:type="dxa"/>
            </w:tcMar>
            <w:hideMark/>
          </w:tcPr>
          <w:p w14:paraId="775203DC" w14:textId="77777777" w:rsidR="00F37FC9" w:rsidRDefault="00F37FC9">
            <w:pPr>
              <w:overflowPunct w:val="0"/>
              <w:jc w:val="center"/>
            </w:pPr>
            <w:r>
              <w:rPr>
                <w:rFonts w:ascii="Arial" w:hAnsi="Arial" w:cs="Arial"/>
                <w:color w:val="000000"/>
                <w:sz w:val="18"/>
                <w:szCs w:val="18"/>
              </w:rPr>
              <w:t>FR1 only</w:t>
            </w:r>
          </w:p>
        </w:tc>
      </w:tr>
    </w:tbl>
    <w:p w14:paraId="558641A3" w14:textId="77777777" w:rsidR="00F37FC9" w:rsidRPr="00821DE7" w:rsidRDefault="00F37FC9" w:rsidP="003233C6">
      <w:pPr>
        <w:rPr>
          <w:lang w:val="en-US"/>
        </w:rPr>
      </w:pP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A284466" w14:textId="4D959C93" w:rsidR="00F35612" w:rsidRDefault="009501E7" w:rsidP="00F35612">
      <w:pPr>
        <w:rPr>
          <w:color w:val="000000" w:themeColor="text1"/>
          <w:lang w:val="en-US" w:eastAsia="zh-CN"/>
        </w:rPr>
      </w:pPr>
      <w:r>
        <w:rPr>
          <w:color w:val="000000" w:themeColor="text1"/>
          <w:lang w:val="en-US" w:eastAsia="zh-CN"/>
        </w:rPr>
        <w:t xml:space="preserve">In this paper, we have shared our </w:t>
      </w:r>
      <w:r w:rsidR="00E26795">
        <w:rPr>
          <w:color w:val="000000" w:themeColor="text1"/>
          <w:lang w:val="en-US" w:eastAsia="zh-CN"/>
        </w:rPr>
        <w:t xml:space="preserve">further analysis on the </w:t>
      </w:r>
      <w:r w:rsidR="004520D4">
        <w:rPr>
          <w:color w:val="000000" w:themeColor="text1"/>
          <w:lang w:val="en-US" w:eastAsia="zh-CN"/>
        </w:rPr>
        <w:t>issue</w:t>
      </w:r>
      <w:r w:rsidR="001839F0">
        <w:rPr>
          <w:color w:val="000000" w:themeColor="text1"/>
          <w:lang w:val="en-US" w:eastAsia="zh-CN"/>
        </w:rPr>
        <w:t xml:space="preserve"> related to the duty cycle scheme</w:t>
      </w:r>
      <w:r>
        <w:rPr>
          <w:color w:val="000000" w:themeColor="text1"/>
          <w:lang w:val="en-US" w:eastAsia="zh-CN"/>
        </w:rPr>
        <w:t>.</w:t>
      </w:r>
      <w:r w:rsidR="00E26795">
        <w:rPr>
          <w:color w:val="000000" w:themeColor="text1"/>
          <w:lang w:val="en-US" w:eastAsia="zh-CN"/>
        </w:rPr>
        <w:t xml:space="preserve"> The following </w:t>
      </w:r>
      <w:r w:rsidR="004520D4">
        <w:rPr>
          <w:color w:val="000000" w:themeColor="text1"/>
          <w:lang w:val="en-US" w:eastAsia="zh-CN"/>
        </w:rPr>
        <w:t xml:space="preserve">observations and </w:t>
      </w:r>
      <w:r w:rsidR="00E26795">
        <w:rPr>
          <w:color w:val="000000" w:themeColor="text1"/>
          <w:lang w:val="en-US" w:eastAsia="zh-CN"/>
        </w:rPr>
        <w:t>proposals are</w:t>
      </w:r>
      <w:r w:rsidR="004520D4">
        <w:rPr>
          <w:color w:val="000000" w:themeColor="text1"/>
          <w:lang w:val="en-US" w:eastAsia="zh-CN"/>
        </w:rPr>
        <w:t xml:space="preserve"> presented</w:t>
      </w:r>
      <w:r w:rsidR="00E26795">
        <w:rPr>
          <w:color w:val="000000" w:themeColor="text1"/>
          <w:lang w:val="en-US" w:eastAsia="zh-CN"/>
        </w:rPr>
        <w:t>:</w:t>
      </w:r>
    </w:p>
    <w:p w14:paraId="7FA49DA6" w14:textId="77777777" w:rsidR="001839F0" w:rsidRPr="00F37FC9" w:rsidRDefault="001839F0" w:rsidP="001839F0">
      <w:pPr>
        <w:rPr>
          <w:b/>
          <w:lang w:val="en-US"/>
        </w:rPr>
      </w:pPr>
      <w:r w:rsidRPr="00F37FC9">
        <w:rPr>
          <w:b/>
          <w:lang w:val="en-US"/>
        </w:rPr>
        <w:t>Observation 1: For the sake of backward compatibility, there is no need to change the power class fallback mechanism in clause 6.2.10 of TS 38.101-1.</w:t>
      </w:r>
    </w:p>
    <w:p w14:paraId="77CCCEAE" w14:textId="1F37B941" w:rsidR="001839F0" w:rsidRDefault="001839F0" w:rsidP="001839F0">
      <w:pPr>
        <w:rPr>
          <w:b/>
          <w:lang w:val="en-US"/>
        </w:rPr>
      </w:pPr>
      <w:r w:rsidRPr="00F37FC9">
        <w:rPr>
          <w:b/>
          <w:lang w:val="en-US"/>
        </w:rPr>
        <w:t>Observation 2: A UE which support</w:t>
      </w:r>
      <w:r w:rsidR="00CF13AF">
        <w:rPr>
          <w:b/>
          <w:lang w:val="en-US"/>
        </w:rPr>
        <w:t>s</w:t>
      </w:r>
      <w:r w:rsidRPr="00F37FC9">
        <w:rPr>
          <w:b/>
          <w:lang w:val="en-US"/>
        </w:rPr>
        <w:t xml:space="preserve"> power class 1.5 can also support power class 2.</w:t>
      </w:r>
    </w:p>
    <w:p w14:paraId="0721EA17" w14:textId="37CAB633" w:rsidR="001839F0" w:rsidRDefault="001839F0" w:rsidP="001839F0">
      <w:pPr>
        <w:rPr>
          <w:rStyle w:val="fontstyle01"/>
          <w:rFonts w:hint="eastAsia"/>
          <w:i w:val="0"/>
        </w:rPr>
      </w:pPr>
      <w:r w:rsidRPr="00F37FC9">
        <w:rPr>
          <w:b/>
          <w:lang w:val="en-US"/>
        </w:rPr>
        <w:t>Observation 3: T</w:t>
      </w:r>
      <w:r w:rsidRPr="00F37FC9">
        <w:rPr>
          <w:rStyle w:val="fontstyle01"/>
          <w:b/>
          <w:i w:val="0"/>
        </w:rPr>
        <w:t>he IE</w:t>
      </w:r>
      <w:r w:rsidRPr="00F37FC9">
        <w:rPr>
          <w:rStyle w:val="fontstyle01"/>
          <w:b/>
        </w:rPr>
        <w:t xml:space="preserve"> </w:t>
      </w:r>
      <w:r w:rsidRPr="00BF4647">
        <w:rPr>
          <w:rStyle w:val="fontstyle01"/>
          <w:b/>
        </w:rPr>
        <w:t>maxUplinkDutyCycle-PC2-FR1</w:t>
      </w:r>
      <w:r>
        <w:rPr>
          <w:rStyle w:val="fontstyle01"/>
        </w:rPr>
        <w:t xml:space="preserve"> </w:t>
      </w:r>
      <w:r w:rsidRPr="00F37FC9">
        <w:rPr>
          <w:rStyle w:val="fontstyle01"/>
          <w:b/>
          <w:i w:val="0"/>
        </w:rPr>
        <w:t xml:space="preserve">was created for aiding </w:t>
      </w:r>
      <w:r>
        <w:rPr>
          <w:rStyle w:val="fontstyle01"/>
          <w:b/>
          <w:i w:val="0"/>
        </w:rPr>
        <w:t>SAR</w:t>
      </w:r>
      <w:r w:rsidRPr="00F37FC9">
        <w:rPr>
          <w:rStyle w:val="fontstyle01"/>
          <w:b/>
          <w:i w:val="0"/>
        </w:rPr>
        <w:t xml:space="preserve"> compliance for high power UEs which typically operate </w:t>
      </w:r>
      <w:r>
        <w:rPr>
          <w:rStyle w:val="fontstyle01"/>
          <w:b/>
          <w:i w:val="0"/>
        </w:rPr>
        <w:t>close to</w:t>
      </w:r>
      <w:r w:rsidRPr="00F37FC9">
        <w:rPr>
          <w:rStyle w:val="fontstyle01"/>
          <w:b/>
          <w:i w:val="0"/>
        </w:rPr>
        <w:t xml:space="preserve"> the human body, such as </w:t>
      </w:r>
      <w:r>
        <w:rPr>
          <w:rStyle w:val="fontstyle01"/>
          <w:b/>
          <w:i w:val="0"/>
        </w:rPr>
        <w:t>smartphones</w:t>
      </w:r>
      <w:r w:rsidRPr="00F37FC9">
        <w:rPr>
          <w:rStyle w:val="fontstyle01"/>
          <w:b/>
          <w:i w:val="0"/>
        </w:rPr>
        <w:t>.</w:t>
      </w:r>
    </w:p>
    <w:p w14:paraId="3B1E3804" w14:textId="76BC9638" w:rsidR="001839F0" w:rsidRDefault="001839F0" w:rsidP="001839F0">
      <w:pPr>
        <w:rPr>
          <w:rStyle w:val="fontstyle01"/>
          <w:rFonts w:hint="eastAsia"/>
          <w:i w:val="0"/>
        </w:rPr>
      </w:pPr>
      <w:r w:rsidRPr="00F37FC9">
        <w:rPr>
          <w:b/>
          <w:lang w:val="en-US"/>
        </w:rPr>
        <w:t xml:space="preserve">Observation </w:t>
      </w:r>
      <w:r>
        <w:rPr>
          <w:b/>
          <w:lang w:val="en-US"/>
        </w:rPr>
        <w:t>4</w:t>
      </w:r>
      <w:r w:rsidRPr="00F37FC9">
        <w:rPr>
          <w:b/>
          <w:lang w:val="en-US"/>
        </w:rPr>
        <w:t>: T</w:t>
      </w:r>
      <w:r w:rsidRPr="00F37FC9">
        <w:rPr>
          <w:rStyle w:val="fontstyle01"/>
          <w:b/>
          <w:i w:val="0"/>
        </w:rPr>
        <w:t>he IE</w:t>
      </w:r>
      <w:r w:rsidRPr="00F37FC9">
        <w:rPr>
          <w:rStyle w:val="fontstyle01"/>
          <w:b/>
        </w:rPr>
        <w:t xml:space="preserve"> maxUplinkDutyCycle-PC1dot5-MPE-FR1</w:t>
      </w:r>
      <w:r>
        <w:rPr>
          <w:rStyle w:val="fontstyle01"/>
          <w:b/>
        </w:rPr>
        <w:t xml:space="preserve"> </w:t>
      </w:r>
      <w:r w:rsidRPr="00F37FC9">
        <w:rPr>
          <w:rStyle w:val="fontstyle01"/>
          <w:b/>
          <w:i w:val="0"/>
        </w:rPr>
        <w:t>was created for aiding MPE compliance for high power UEs which typically operate at a distance away from the human body, such as FWA, vehicular UEs, etc.</w:t>
      </w:r>
    </w:p>
    <w:p w14:paraId="703E6C7E" w14:textId="77777777" w:rsidR="001839F0" w:rsidRPr="00F37FC9" w:rsidRDefault="001839F0" w:rsidP="001839F0">
      <w:pPr>
        <w:rPr>
          <w:b/>
          <w:lang w:val="en-US"/>
        </w:rPr>
      </w:pPr>
      <w:r w:rsidRPr="00F37FC9">
        <w:rPr>
          <w:b/>
          <w:lang w:val="en-US"/>
        </w:rPr>
        <w:t>Proposal 1: Request RAN2 to make the following revisions to TS 38.306</w:t>
      </w:r>
      <w:r>
        <w:rPr>
          <w:b/>
          <w:lang w:val="en-US"/>
        </w:rPr>
        <w:t>:</w:t>
      </w:r>
    </w:p>
    <w:tbl>
      <w:tblPr>
        <w:tblW w:w="9640" w:type="dxa"/>
        <w:tblCellMar>
          <w:left w:w="0" w:type="dxa"/>
          <w:right w:w="0" w:type="dxa"/>
        </w:tblCellMar>
        <w:tblLook w:val="04A0" w:firstRow="1" w:lastRow="0" w:firstColumn="1" w:lastColumn="0" w:noHBand="0" w:noVBand="1"/>
      </w:tblPr>
      <w:tblGrid>
        <w:gridCol w:w="6949"/>
        <w:gridCol w:w="703"/>
        <w:gridCol w:w="562"/>
        <w:gridCol w:w="703"/>
        <w:gridCol w:w="723"/>
      </w:tblGrid>
      <w:tr w:rsidR="001839F0" w14:paraId="2CB8D0AB" w14:textId="77777777" w:rsidTr="0052671D">
        <w:trPr>
          <w:trHeight w:val="133"/>
        </w:trPr>
        <w:tc>
          <w:tcPr>
            <w:tcW w:w="6920" w:type="dxa"/>
            <w:tcBorders>
              <w:top w:val="single" w:sz="8" w:space="0" w:color="808080"/>
              <w:left w:val="single" w:sz="8" w:space="0" w:color="808080"/>
              <w:bottom w:val="single" w:sz="8" w:space="0" w:color="808080"/>
              <w:right w:val="single" w:sz="8" w:space="0" w:color="808080"/>
            </w:tcBorders>
            <w:tcMar>
              <w:top w:w="15" w:type="dxa"/>
              <w:left w:w="108" w:type="dxa"/>
              <w:bottom w:w="0" w:type="dxa"/>
              <w:right w:w="108" w:type="dxa"/>
            </w:tcMar>
            <w:hideMark/>
          </w:tcPr>
          <w:p w14:paraId="25D5168F" w14:textId="77777777" w:rsidR="001839F0" w:rsidRDefault="001839F0" w:rsidP="0052671D">
            <w:pPr>
              <w:overflowPunct w:val="0"/>
              <w:rPr>
                <w:lang w:eastAsia="zh-CN"/>
              </w:rPr>
            </w:pPr>
            <w:r>
              <w:rPr>
                <w:rFonts w:ascii="Arial" w:hAnsi="Arial" w:cs="Arial"/>
                <w:b/>
                <w:bCs/>
                <w:i/>
                <w:iCs/>
                <w:color w:val="000000"/>
                <w:sz w:val="18"/>
                <w:szCs w:val="18"/>
              </w:rPr>
              <w:t>maxUplinkDutyCycle-PC2-FR1</w:t>
            </w:r>
          </w:p>
          <w:p w14:paraId="7ACF3E4B" w14:textId="77777777" w:rsidR="001839F0" w:rsidRDefault="001839F0" w:rsidP="0052671D">
            <w:pPr>
              <w:overflowPunct w:val="0"/>
            </w:pPr>
            <w:r>
              <w:rPr>
                <w:rFonts w:ascii="Arial" w:hAnsi="Arial" w:cs="Arial"/>
                <w:color w:val="000000"/>
                <w:sz w:val="18"/>
                <w:szCs w:val="18"/>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w:t>
            </w:r>
            <w:r>
              <w:rPr>
                <w:rFonts w:ascii="Arial" w:hAnsi="Arial" w:cs="Arial"/>
                <w:strike/>
                <w:color w:val="000000"/>
                <w:sz w:val="18"/>
                <w:szCs w:val="18"/>
                <w:highlight w:val="yellow"/>
              </w:rPr>
              <w:t xml:space="preserve">power class 2 </w:t>
            </w:r>
            <w:r w:rsidRPr="000D5E74">
              <w:rPr>
                <w:rFonts w:ascii="Arial" w:hAnsi="Arial" w:cs="Arial"/>
                <w:color w:val="FF0000"/>
                <w:sz w:val="18"/>
                <w:szCs w:val="18"/>
                <w:highlight w:val="yellow"/>
              </w:rPr>
              <w:t>UE supporting power class 2</w:t>
            </w:r>
            <w:r w:rsidRPr="000D5E74">
              <w:rPr>
                <w:rFonts w:ascii="Arial" w:hAnsi="Arial" w:cs="Arial"/>
                <w:color w:val="FF0000"/>
                <w:sz w:val="18"/>
                <w:szCs w:val="18"/>
              </w:rPr>
              <w:t xml:space="preserve"> </w:t>
            </w:r>
            <w:r>
              <w:rPr>
                <w:rFonts w:ascii="Arial" w:hAnsi="Arial" w:cs="Arial"/>
                <w:color w:val="000000"/>
                <w:sz w:val="18"/>
                <w:szCs w:val="18"/>
              </w:rPr>
              <w:t>as specified in clause 6.2.1 of TS 38.101-1 [2]. If the field is absent, 50% shall be applied. Value n60 corresponds to 60%, value n70 corresponds to 70% and so on. This capability is not applicable to IAB-MT.</w:t>
            </w:r>
          </w:p>
        </w:tc>
        <w:tc>
          <w:tcPr>
            <w:tcW w:w="700" w:type="dxa"/>
            <w:tcBorders>
              <w:top w:val="single" w:sz="8" w:space="0" w:color="808080"/>
              <w:left w:val="nil"/>
              <w:bottom w:val="single" w:sz="8" w:space="0" w:color="808080"/>
              <w:right w:val="single" w:sz="8" w:space="0" w:color="808080"/>
            </w:tcBorders>
            <w:tcMar>
              <w:top w:w="15" w:type="dxa"/>
              <w:left w:w="108" w:type="dxa"/>
              <w:bottom w:w="0" w:type="dxa"/>
              <w:right w:w="108" w:type="dxa"/>
            </w:tcMar>
            <w:hideMark/>
          </w:tcPr>
          <w:p w14:paraId="7B95B4FC" w14:textId="77777777" w:rsidR="001839F0" w:rsidRDefault="001839F0" w:rsidP="0052671D">
            <w:pPr>
              <w:overflowPunct w:val="0"/>
              <w:jc w:val="center"/>
            </w:pPr>
            <w:r>
              <w:rPr>
                <w:rFonts w:ascii="Arial" w:hAnsi="Arial" w:cs="Arial"/>
                <w:color w:val="000000"/>
                <w:sz w:val="18"/>
                <w:szCs w:val="18"/>
              </w:rPr>
              <w:t>Band</w:t>
            </w:r>
          </w:p>
        </w:tc>
        <w:tc>
          <w:tcPr>
            <w:tcW w:w="560" w:type="dxa"/>
            <w:tcBorders>
              <w:top w:val="single" w:sz="8" w:space="0" w:color="808080"/>
              <w:left w:val="nil"/>
              <w:bottom w:val="single" w:sz="8" w:space="0" w:color="808080"/>
              <w:right w:val="single" w:sz="8" w:space="0" w:color="808080"/>
            </w:tcBorders>
            <w:tcMar>
              <w:top w:w="15" w:type="dxa"/>
              <w:left w:w="108" w:type="dxa"/>
              <w:bottom w:w="0" w:type="dxa"/>
              <w:right w:w="108" w:type="dxa"/>
            </w:tcMar>
            <w:hideMark/>
          </w:tcPr>
          <w:p w14:paraId="394D1D8F" w14:textId="77777777" w:rsidR="001839F0" w:rsidRDefault="001839F0" w:rsidP="0052671D">
            <w:pPr>
              <w:overflowPunct w:val="0"/>
              <w:jc w:val="center"/>
            </w:pPr>
            <w:r>
              <w:rPr>
                <w:rFonts w:ascii="Arial" w:hAnsi="Arial" w:cs="Arial"/>
                <w:color w:val="000000"/>
                <w:sz w:val="18"/>
                <w:szCs w:val="18"/>
              </w:rPr>
              <w:t>No</w:t>
            </w:r>
          </w:p>
        </w:tc>
        <w:tc>
          <w:tcPr>
            <w:tcW w:w="700" w:type="dxa"/>
            <w:tcBorders>
              <w:top w:val="single" w:sz="8" w:space="0" w:color="808080"/>
              <w:left w:val="nil"/>
              <w:bottom w:val="single" w:sz="8" w:space="0" w:color="808080"/>
              <w:right w:val="single" w:sz="8" w:space="0" w:color="808080"/>
            </w:tcBorders>
            <w:tcMar>
              <w:top w:w="15" w:type="dxa"/>
              <w:left w:w="108" w:type="dxa"/>
              <w:bottom w:w="0" w:type="dxa"/>
              <w:right w:w="108" w:type="dxa"/>
            </w:tcMar>
            <w:hideMark/>
          </w:tcPr>
          <w:p w14:paraId="5E73D415" w14:textId="77777777" w:rsidR="001839F0" w:rsidRDefault="001839F0" w:rsidP="0052671D">
            <w:pPr>
              <w:overflowPunct w:val="0"/>
              <w:jc w:val="center"/>
            </w:pPr>
            <w:r>
              <w:rPr>
                <w:rFonts w:ascii="Arial" w:hAnsi="Arial" w:cs="Arial"/>
                <w:color w:val="000000"/>
                <w:sz w:val="18"/>
                <w:szCs w:val="18"/>
              </w:rPr>
              <w:t>N/A</w:t>
            </w:r>
          </w:p>
        </w:tc>
        <w:tc>
          <w:tcPr>
            <w:tcW w:w="720" w:type="dxa"/>
            <w:tcBorders>
              <w:top w:val="single" w:sz="8" w:space="0" w:color="808080"/>
              <w:left w:val="nil"/>
              <w:bottom w:val="single" w:sz="8" w:space="0" w:color="808080"/>
              <w:right w:val="single" w:sz="8" w:space="0" w:color="808080"/>
            </w:tcBorders>
            <w:tcMar>
              <w:top w:w="15" w:type="dxa"/>
              <w:left w:w="108" w:type="dxa"/>
              <w:bottom w:w="0" w:type="dxa"/>
              <w:right w:w="108" w:type="dxa"/>
            </w:tcMar>
            <w:hideMark/>
          </w:tcPr>
          <w:p w14:paraId="1C9C215E" w14:textId="77777777" w:rsidR="001839F0" w:rsidRDefault="001839F0" w:rsidP="0052671D">
            <w:pPr>
              <w:overflowPunct w:val="0"/>
              <w:jc w:val="center"/>
            </w:pPr>
            <w:r>
              <w:rPr>
                <w:rFonts w:ascii="Arial" w:hAnsi="Arial" w:cs="Arial"/>
                <w:color w:val="000000"/>
                <w:sz w:val="18"/>
                <w:szCs w:val="18"/>
              </w:rPr>
              <w:t>FR1 only</w:t>
            </w:r>
          </w:p>
        </w:tc>
      </w:tr>
      <w:tr w:rsidR="001839F0" w14:paraId="4651987D" w14:textId="77777777" w:rsidTr="0052671D">
        <w:tc>
          <w:tcPr>
            <w:tcW w:w="6920" w:type="dxa"/>
            <w:tcBorders>
              <w:top w:val="nil"/>
              <w:left w:val="single" w:sz="8" w:space="0" w:color="808080"/>
              <w:bottom w:val="single" w:sz="8" w:space="0" w:color="808080"/>
              <w:right w:val="single" w:sz="8" w:space="0" w:color="808080"/>
            </w:tcBorders>
            <w:tcMar>
              <w:top w:w="15" w:type="dxa"/>
              <w:left w:w="108" w:type="dxa"/>
              <w:bottom w:w="0" w:type="dxa"/>
              <w:right w:w="108" w:type="dxa"/>
            </w:tcMar>
            <w:hideMark/>
          </w:tcPr>
          <w:p w14:paraId="4929E878" w14:textId="77777777" w:rsidR="001839F0" w:rsidRDefault="001839F0" w:rsidP="0052671D">
            <w:pPr>
              <w:overflowPunct w:val="0"/>
            </w:pPr>
            <w:r>
              <w:rPr>
                <w:rFonts w:ascii="Arial" w:hAnsi="Arial" w:cs="Arial"/>
                <w:b/>
                <w:bCs/>
                <w:i/>
                <w:iCs/>
                <w:color w:val="000000"/>
                <w:sz w:val="18"/>
                <w:szCs w:val="18"/>
              </w:rPr>
              <w:t>maxUplinkDutyCycle-PC1dot5-MPE-FR1-r16</w:t>
            </w:r>
          </w:p>
          <w:p w14:paraId="67C80DD8" w14:textId="77777777" w:rsidR="001839F0" w:rsidRDefault="001839F0" w:rsidP="0052671D">
            <w:pPr>
              <w:overflowPunct w:val="0"/>
            </w:pPr>
            <w:r>
              <w:rPr>
                <w:rFonts w:ascii="Arial" w:hAnsi="Arial" w:cs="Arial"/>
                <w:color w:val="000000"/>
                <w:sz w:val="18"/>
                <w:szCs w:val="18"/>
              </w:rPr>
              <w:t>Indicates the maximum percentage of symbols during a certain evaluation period that can be scheduled for uplink transm</w:t>
            </w:r>
            <w:bookmarkStart w:id="5" w:name="_GoBack"/>
            <w:bookmarkEnd w:id="5"/>
            <w:r>
              <w:rPr>
                <w:rFonts w:ascii="Arial" w:hAnsi="Arial" w:cs="Arial"/>
                <w:color w:val="000000"/>
                <w:sz w:val="18"/>
                <w:szCs w:val="18"/>
              </w:rPr>
              <w:t xml:space="preserve">ission so as to ensure compliance with applicable electromagnetic energy absorption requirements provided by regulatory bodies. This field is only applicable for FR1 power class 1.5 UE as specified in clause 6.2.1 of TS 38.101-1 [2]. If the field is absent, UE shall mitigate MPE autonomously by P-MPR or by other means and no restriction on scheduled uplink duty cycle is needed </w:t>
            </w:r>
            <w:r w:rsidRPr="000D5E74">
              <w:rPr>
                <w:rFonts w:ascii="Arial" w:hAnsi="Arial" w:cs="Arial"/>
                <w:color w:val="FF0000"/>
                <w:sz w:val="18"/>
                <w:szCs w:val="18"/>
                <w:highlight w:val="yellow"/>
              </w:rPr>
              <w:t>for MPE compliance</w:t>
            </w:r>
            <w:r>
              <w:rPr>
                <w:rFonts w:ascii="Arial" w:hAnsi="Arial" w:cs="Arial"/>
                <w:color w:val="000000"/>
                <w:sz w:val="18"/>
                <w:szCs w:val="18"/>
                <w:highlight w:val="yellow"/>
              </w:rPr>
              <w:t>.</w:t>
            </w:r>
          </w:p>
        </w:tc>
        <w:tc>
          <w:tcPr>
            <w:tcW w:w="700" w:type="dxa"/>
            <w:tcBorders>
              <w:top w:val="nil"/>
              <w:left w:val="nil"/>
              <w:bottom w:val="single" w:sz="8" w:space="0" w:color="808080"/>
              <w:right w:val="single" w:sz="8" w:space="0" w:color="808080"/>
            </w:tcBorders>
            <w:tcMar>
              <w:top w:w="15" w:type="dxa"/>
              <w:left w:w="108" w:type="dxa"/>
              <w:bottom w:w="0" w:type="dxa"/>
              <w:right w:w="108" w:type="dxa"/>
            </w:tcMar>
            <w:hideMark/>
          </w:tcPr>
          <w:p w14:paraId="00C817E6" w14:textId="77777777" w:rsidR="001839F0" w:rsidRDefault="001839F0" w:rsidP="0052671D">
            <w:pPr>
              <w:overflowPunct w:val="0"/>
              <w:jc w:val="center"/>
            </w:pPr>
            <w:r>
              <w:rPr>
                <w:rFonts w:ascii="Arial" w:hAnsi="Arial" w:cs="Arial"/>
                <w:color w:val="000000"/>
                <w:sz w:val="18"/>
                <w:szCs w:val="18"/>
              </w:rPr>
              <w:t>Band</w:t>
            </w:r>
          </w:p>
        </w:tc>
        <w:tc>
          <w:tcPr>
            <w:tcW w:w="560" w:type="dxa"/>
            <w:tcBorders>
              <w:top w:val="nil"/>
              <w:left w:val="nil"/>
              <w:bottom w:val="single" w:sz="8" w:space="0" w:color="808080"/>
              <w:right w:val="single" w:sz="8" w:space="0" w:color="808080"/>
            </w:tcBorders>
            <w:tcMar>
              <w:top w:w="15" w:type="dxa"/>
              <w:left w:w="108" w:type="dxa"/>
              <w:bottom w:w="0" w:type="dxa"/>
              <w:right w:w="108" w:type="dxa"/>
            </w:tcMar>
            <w:hideMark/>
          </w:tcPr>
          <w:p w14:paraId="174992C5" w14:textId="77777777" w:rsidR="001839F0" w:rsidRDefault="001839F0" w:rsidP="0052671D">
            <w:pPr>
              <w:overflowPunct w:val="0"/>
              <w:jc w:val="center"/>
            </w:pPr>
            <w:r>
              <w:rPr>
                <w:rFonts w:ascii="Arial" w:hAnsi="Arial" w:cs="Arial"/>
                <w:color w:val="000000"/>
                <w:sz w:val="18"/>
                <w:szCs w:val="18"/>
              </w:rPr>
              <w:t>No</w:t>
            </w:r>
          </w:p>
        </w:tc>
        <w:tc>
          <w:tcPr>
            <w:tcW w:w="700" w:type="dxa"/>
            <w:tcBorders>
              <w:top w:val="nil"/>
              <w:left w:val="nil"/>
              <w:bottom w:val="single" w:sz="8" w:space="0" w:color="808080"/>
              <w:right w:val="single" w:sz="8" w:space="0" w:color="808080"/>
            </w:tcBorders>
            <w:tcMar>
              <w:top w:w="15" w:type="dxa"/>
              <w:left w:w="108" w:type="dxa"/>
              <w:bottom w:w="0" w:type="dxa"/>
              <w:right w:w="108" w:type="dxa"/>
            </w:tcMar>
            <w:hideMark/>
          </w:tcPr>
          <w:p w14:paraId="7C905C97" w14:textId="77777777" w:rsidR="001839F0" w:rsidRDefault="001839F0" w:rsidP="0052671D">
            <w:pPr>
              <w:overflowPunct w:val="0"/>
              <w:jc w:val="center"/>
            </w:pPr>
            <w:r>
              <w:rPr>
                <w:rFonts w:ascii="Arial" w:hAnsi="Arial" w:cs="Arial"/>
                <w:color w:val="000000"/>
                <w:sz w:val="18"/>
                <w:szCs w:val="18"/>
              </w:rPr>
              <w:t>N/A</w:t>
            </w:r>
          </w:p>
        </w:tc>
        <w:tc>
          <w:tcPr>
            <w:tcW w:w="720" w:type="dxa"/>
            <w:tcBorders>
              <w:top w:val="nil"/>
              <w:left w:val="nil"/>
              <w:bottom w:val="single" w:sz="8" w:space="0" w:color="808080"/>
              <w:right w:val="single" w:sz="8" w:space="0" w:color="808080"/>
            </w:tcBorders>
            <w:tcMar>
              <w:top w:w="15" w:type="dxa"/>
              <w:left w:w="108" w:type="dxa"/>
              <w:bottom w:w="0" w:type="dxa"/>
              <w:right w:w="108" w:type="dxa"/>
            </w:tcMar>
            <w:hideMark/>
          </w:tcPr>
          <w:p w14:paraId="493D0E12" w14:textId="77777777" w:rsidR="001839F0" w:rsidRDefault="001839F0" w:rsidP="0052671D">
            <w:pPr>
              <w:overflowPunct w:val="0"/>
              <w:jc w:val="center"/>
            </w:pPr>
            <w:r>
              <w:rPr>
                <w:rFonts w:ascii="Arial" w:hAnsi="Arial" w:cs="Arial"/>
                <w:color w:val="000000"/>
                <w:sz w:val="18"/>
                <w:szCs w:val="18"/>
              </w:rPr>
              <w:t>FR1 only</w:t>
            </w:r>
          </w:p>
        </w:tc>
      </w:tr>
    </w:tbl>
    <w:p w14:paraId="7F3614C4" w14:textId="04003806" w:rsidR="001029AF" w:rsidRPr="00AF56F0" w:rsidRDefault="001029AF" w:rsidP="001029AF">
      <w:pPr>
        <w:rPr>
          <w:b/>
          <w:lang w:val="en-US"/>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6EC1C607" w14:textId="41569289" w:rsidR="005515C7" w:rsidRDefault="00205C2C" w:rsidP="002B4FD9">
      <w:pPr>
        <w:pStyle w:val="ListParagraph"/>
        <w:numPr>
          <w:ilvl w:val="0"/>
          <w:numId w:val="10"/>
        </w:numPr>
        <w:rPr>
          <w:lang w:eastAsia="zh-CN"/>
        </w:rPr>
      </w:pPr>
      <w:r w:rsidRPr="00D6761F">
        <w:rPr>
          <w:lang w:eastAsia="ja-JP"/>
        </w:rPr>
        <w:t>R</w:t>
      </w:r>
      <w:r w:rsidR="00FA52F7">
        <w:rPr>
          <w:lang w:eastAsia="ja-JP"/>
        </w:rPr>
        <w:t>4</w:t>
      </w:r>
      <w:r w:rsidRPr="00D6761F">
        <w:rPr>
          <w:lang w:eastAsia="ja-JP"/>
        </w:rPr>
        <w:t>-22</w:t>
      </w:r>
      <w:r w:rsidR="00F755CE">
        <w:rPr>
          <w:lang w:eastAsia="ja-JP"/>
        </w:rPr>
        <w:t>1</w:t>
      </w:r>
      <w:r w:rsidR="00FA52F7">
        <w:rPr>
          <w:lang w:eastAsia="ja-JP"/>
        </w:rPr>
        <w:t>7</w:t>
      </w:r>
      <w:r w:rsidR="00B079FF">
        <w:rPr>
          <w:lang w:eastAsia="ja-JP"/>
        </w:rPr>
        <w:t>11</w:t>
      </w:r>
      <w:r w:rsidR="00FA52F7">
        <w:rPr>
          <w:lang w:eastAsia="ja-JP"/>
        </w:rPr>
        <w:t>9</w:t>
      </w:r>
      <w:r w:rsidRPr="00D6761F">
        <w:rPr>
          <w:lang w:eastAsia="ja-JP"/>
        </w:rPr>
        <w:t xml:space="preserve"> </w:t>
      </w:r>
      <w:r w:rsidR="00B079FF">
        <w:rPr>
          <w:lang w:eastAsia="ja-JP"/>
        </w:rPr>
        <w:t xml:space="preserve">WF on </w:t>
      </w:r>
      <w:proofErr w:type="spellStart"/>
      <w:r w:rsidR="00B079FF">
        <w:rPr>
          <w:lang w:eastAsia="ja-JP"/>
        </w:rPr>
        <w:t>HPUE_Basket_Intra</w:t>
      </w:r>
      <w:proofErr w:type="spellEnd"/>
      <w:r w:rsidR="00B079FF">
        <w:rPr>
          <w:lang w:eastAsia="ja-JP"/>
        </w:rPr>
        <w:t xml:space="preserve">-CA_TDD, Huawei, </w:t>
      </w:r>
      <w:proofErr w:type="spellStart"/>
      <w:r w:rsidR="00B079FF">
        <w:rPr>
          <w:lang w:eastAsia="ja-JP"/>
        </w:rPr>
        <w:t>HiSilicon</w:t>
      </w:r>
      <w:proofErr w:type="spellEnd"/>
      <w:r w:rsidR="00B079FF">
        <w:rPr>
          <w:lang w:eastAsia="ja-JP"/>
        </w:rPr>
        <w:t xml:space="preserve">, </w:t>
      </w:r>
      <w:r w:rsidR="00B55B72">
        <w:rPr>
          <w:lang w:eastAsia="ja-JP"/>
        </w:rPr>
        <w:t>RAN</w:t>
      </w:r>
      <w:r w:rsidR="00FA52F7">
        <w:rPr>
          <w:lang w:eastAsia="ja-JP"/>
        </w:rPr>
        <w:t>4</w:t>
      </w:r>
      <w:r w:rsidR="00B55B72">
        <w:rPr>
          <w:lang w:eastAsia="ja-JP"/>
        </w:rPr>
        <w:t>#</w:t>
      </w:r>
      <w:r w:rsidR="00FA52F7">
        <w:rPr>
          <w:lang w:eastAsia="ja-JP"/>
        </w:rPr>
        <w:t>104bis-e</w:t>
      </w:r>
    </w:p>
    <w:p w14:paraId="3140641E" w14:textId="162B1DCC" w:rsidR="00821DE7" w:rsidRDefault="00821DE7" w:rsidP="002B4FD9">
      <w:pPr>
        <w:pStyle w:val="ListParagraph"/>
        <w:numPr>
          <w:ilvl w:val="0"/>
          <w:numId w:val="10"/>
        </w:numPr>
        <w:rPr>
          <w:lang w:eastAsia="zh-CN"/>
        </w:rPr>
      </w:pPr>
      <w:r>
        <w:rPr>
          <w:lang w:eastAsia="zh-CN"/>
        </w:rPr>
        <w:t>3GPP TS 38.101-1 V17.7.0</w:t>
      </w:r>
    </w:p>
    <w:p w14:paraId="680CFC0F" w14:textId="77777777" w:rsidR="00F8454B" w:rsidRDefault="00F8454B" w:rsidP="00FB3570">
      <w:pPr>
        <w:rPr>
          <w:lang w:eastAsia="zh-CN"/>
        </w:rPr>
      </w:pPr>
    </w:p>
    <w:sectPr w:rsidR="00F8454B"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Italic">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42964"/>
    <w:multiLevelType w:val="hybridMultilevel"/>
    <w:tmpl w:val="3E9A1D2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02501DF"/>
    <w:multiLevelType w:val="multilevel"/>
    <w:tmpl w:val="102501D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51D2362"/>
    <w:multiLevelType w:val="hybridMultilevel"/>
    <w:tmpl w:val="2392D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8"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22" w15:restartNumberingAfterBreak="0">
    <w:nsid w:val="7D4F1AD9"/>
    <w:multiLevelType w:val="hybridMultilevel"/>
    <w:tmpl w:val="456A5980"/>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abstractNumId w:val="11"/>
  </w:num>
  <w:num w:numId="2">
    <w:abstractNumId w:val="13"/>
  </w:num>
  <w:num w:numId="3">
    <w:abstractNumId w:val="19"/>
  </w:num>
  <w:num w:numId="4">
    <w:abstractNumId w:val="6"/>
  </w:num>
  <w:num w:numId="5">
    <w:abstractNumId w:val="5"/>
  </w:num>
  <w:num w:numId="6">
    <w:abstractNumId w:val="9"/>
  </w:num>
  <w:num w:numId="7">
    <w:abstractNumId w:val="3"/>
  </w:num>
  <w:num w:numId="8">
    <w:abstractNumId w:val="12"/>
  </w:num>
  <w:num w:numId="9">
    <w:abstractNumId w:val="15"/>
  </w:num>
  <w:num w:numId="10">
    <w:abstractNumId w:val="10"/>
  </w:num>
  <w:num w:numId="11">
    <w:abstractNumId w:val="18"/>
  </w:num>
  <w:num w:numId="12">
    <w:abstractNumId w:val="14"/>
  </w:num>
  <w:num w:numId="13">
    <w:abstractNumId w:val="1"/>
  </w:num>
  <w:num w:numId="14">
    <w:abstractNumId w:val="8"/>
  </w:num>
  <w:num w:numId="15">
    <w:abstractNumId w:val="17"/>
  </w:num>
  <w:num w:numId="16">
    <w:abstractNumId w:val="16"/>
  </w:num>
  <w:num w:numId="17">
    <w:abstractNumId w:val="22"/>
  </w:num>
  <w:num w:numId="18">
    <w:abstractNumId w:val="0"/>
  </w:num>
  <w:num w:numId="19">
    <w:abstractNumId w:val="20"/>
  </w:num>
  <w:num w:numId="20">
    <w:abstractNumId w:val="7"/>
  </w:num>
  <w:num w:numId="21">
    <w:abstractNumId w:val="21"/>
  </w:num>
  <w:num w:numId="22">
    <w:abstractNumId w:val="4"/>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1013B"/>
    <w:rsid w:val="00017293"/>
    <w:rsid w:val="000221DE"/>
    <w:rsid w:val="000259C9"/>
    <w:rsid w:val="00027393"/>
    <w:rsid w:val="000275FD"/>
    <w:rsid w:val="00030BBE"/>
    <w:rsid w:val="000329EC"/>
    <w:rsid w:val="0003553A"/>
    <w:rsid w:val="000369D6"/>
    <w:rsid w:val="00042FDC"/>
    <w:rsid w:val="000446CD"/>
    <w:rsid w:val="00047269"/>
    <w:rsid w:val="000519FD"/>
    <w:rsid w:val="00061CBB"/>
    <w:rsid w:val="00062044"/>
    <w:rsid w:val="000629FA"/>
    <w:rsid w:val="00072035"/>
    <w:rsid w:val="00073CD8"/>
    <w:rsid w:val="00075135"/>
    <w:rsid w:val="00075D6E"/>
    <w:rsid w:val="0008020C"/>
    <w:rsid w:val="0008439E"/>
    <w:rsid w:val="000850F4"/>
    <w:rsid w:val="000861F8"/>
    <w:rsid w:val="0008788D"/>
    <w:rsid w:val="000902FD"/>
    <w:rsid w:val="00096438"/>
    <w:rsid w:val="000A2272"/>
    <w:rsid w:val="000A33B0"/>
    <w:rsid w:val="000A3E12"/>
    <w:rsid w:val="000B2EA7"/>
    <w:rsid w:val="000C036F"/>
    <w:rsid w:val="000C3038"/>
    <w:rsid w:val="000C41F9"/>
    <w:rsid w:val="000C43BD"/>
    <w:rsid w:val="000C4992"/>
    <w:rsid w:val="000C7922"/>
    <w:rsid w:val="000D4C52"/>
    <w:rsid w:val="000D506C"/>
    <w:rsid w:val="000D5E74"/>
    <w:rsid w:val="000D71E1"/>
    <w:rsid w:val="000D74E1"/>
    <w:rsid w:val="000E5300"/>
    <w:rsid w:val="000E70F5"/>
    <w:rsid w:val="000F0505"/>
    <w:rsid w:val="000F2D11"/>
    <w:rsid w:val="000F6C41"/>
    <w:rsid w:val="000F7612"/>
    <w:rsid w:val="000F77C0"/>
    <w:rsid w:val="000F7DC6"/>
    <w:rsid w:val="00100A60"/>
    <w:rsid w:val="001010BA"/>
    <w:rsid w:val="001015DC"/>
    <w:rsid w:val="001029AF"/>
    <w:rsid w:val="001034F8"/>
    <w:rsid w:val="00113ADD"/>
    <w:rsid w:val="00114F98"/>
    <w:rsid w:val="0011594F"/>
    <w:rsid w:val="0011798D"/>
    <w:rsid w:val="00122BAD"/>
    <w:rsid w:val="00124176"/>
    <w:rsid w:val="00125B91"/>
    <w:rsid w:val="00126319"/>
    <w:rsid w:val="00127721"/>
    <w:rsid w:val="00127F45"/>
    <w:rsid w:val="00130C44"/>
    <w:rsid w:val="00135192"/>
    <w:rsid w:val="00141BA0"/>
    <w:rsid w:val="00142027"/>
    <w:rsid w:val="00143B2E"/>
    <w:rsid w:val="00147358"/>
    <w:rsid w:val="00151A25"/>
    <w:rsid w:val="00152314"/>
    <w:rsid w:val="00154BD3"/>
    <w:rsid w:val="00157397"/>
    <w:rsid w:val="00157E0B"/>
    <w:rsid w:val="00163B46"/>
    <w:rsid w:val="00175ECD"/>
    <w:rsid w:val="00181D44"/>
    <w:rsid w:val="001839F0"/>
    <w:rsid w:val="00183B18"/>
    <w:rsid w:val="001846C1"/>
    <w:rsid w:val="00184D31"/>
    <w:rsid w:val="00185D4F"/>
    <w:rsid w:val="00190EAF"/>
    <w:rsid w:val="00191B1B"/>
    <w:rsid w:val="00195B6F"/>
    <w:rsid w:val="00196DF1"/>
    <w:rsid w:val="001977C0"/>
    <w:rsid w:val="001A04A1"/>
    <w:rsid w:val="001A5123"/>
    <w:rsid w:val="001B19DE"/>
    <w:rsid w:val="001B4B78"/>
    <w:rsid w:val="001C39D8"/>
    <w:rsid w:val="001C74E1"/>
    <w:rsid w:val="001D743A"/>
    <w:rsid w:val="001D7764"/>
    <w:rsid w:val="001D7C04"/>
    <w:rsid w:val="001E3B15"/>
    <w:rsid w:val="001E433F"/>
    <w:rsid w:val="001E4946"/>
    <w:rsid w:val="001E56B6"/>
    <w:rsid w:val="001E65DE"/>
    <w:rsid w:val="001F459A"/>
    <w:rsid w:val="001F56E8"/>
    <w:rsid w:val="001F6CD5"/>
    <w:rsid w:val="001F746B"/>
    <w:rsid w:val="00200E3B"/>
    <w:rsid w:val="002031EA"/>
    <w:rsid w:val="00203D6E"/>
    <w:rsid w:val="00205C2C"/>
    <w:rsid w:val="0020624E"/>
    <w:rsid w:val="002106D3"/>
    <w:rsid w:val="00210E17"/>
    <w:rsid w:val="00215F28"/>
    <w:rsid w:val="00217DA2"/>
    <w:rsid w:val="0022436D"/>
    <w:rsid w:val="00225265"/>
    <w:rsid w:val="00235CA6"/>
    <w:rsid w:val="00235FE9"/>
    <w:rsid w:val="0024412D"/>
    <w:rsid w:val="00244912"/>
    <w:rsid w:val="00244B91"/>
    <w:rsid w:val="002459CA"/>
    <w:rsid w:val="00247F28"/>
    <w:rsid w:val="00250361"/>
    <w:rsid w:val="00250739"/>
    <w:rsid w:val="00251CAD"/>
    <w:rsid w:val="00254FDE"/>
    <w:rsid w:val="002629FA"/>
    <w:rsid w:val="0026302C"/>
    <w:rsid w:val="00272BF9"/>
    <w:rsid w:val="00273E82"/>
    <w:rsid w:val="002814EC"/>
    <w:rsid w:val="00281F99"/>
    <w:rsid w:val="00282D47"/>
    <w:rsid w:val="00290D0D"/>
    <w:rsid w:val="002931E0"/>
    <w:rsid w:val="002959F8"/>
    <w:rsid w:val="0029659D"/>
    <w:rsid w:val="00296728"/>
    <w:rsid w:val="002A1AF5"/>
    <w:rsid w:val="002A2C60"/>
    <w:rsid w:val="002A34ED"/>
    <w:rsid w:val="002A52EE"/>
    <w:rsid w:val="002B0F50"/>
    <w:rsid w:val="002B1974"/>
    <w:rsid w:val="002B4FD9"/>
    <w:rsid w:val="002B70C4"/>
    <w:rsid w:val="002C350C"/>
    <w:rsid w:val="002C5E16"/>
    <w:rsid w:val="002D016B"/>
    <w:rsid w:val="002D064B"/>
    <w:rsid w:val="002D29CE"/>
    <w:rsid w:val="002D41BB"/>
    <w:rsid w:val="002D5C9A"/>
    <w:rsid w:val="002E23B0"/>
    <w:rsid w:val="002E6109"/>
    <w:rsid w:val="002E628D"/>
    <w:rsid w:val="002F5FF2"/>
    <w:rsid w:val="002F6E01"/>
    <w:rsid w:val="002F7055"/>
    <w:rsid w:val="002F71D9"/>
    <w:rsid w:val="00305135"/>
    <w:rsid w:val="00306974"/>
    <w:rsid w:val="00307E3B"/>
    <w:rsid w:val="0031137E"/>
    <w:rsid w:val="00312590"/>
    <w:rsid w:val="00314063"/>
    <w:rsid w:val="0031607C"/>
    <w:rsid w:val="00316557"/>
    <w:rsid w:val="00316C2F"/>
    <w:rsid w:val="003179DE"/>
    <w:rsid w:val="003210C2"/>
    <w:rsid w:val="003233C6"/>
    <w:rsid w:val="003234B0"/>
    <w:rsid w:val="0032409D"/>
    <w:rsid w:val="00325824"/>
    <w:rsid w:val="00326295"/>
    <w:rsid w:val="00326622"/>
    <w:rsid w:val="0032692A"/>
    <w:rsid w:val="00327046"/>
    <w:rsid w:val="003326CF"/>
    <w:rsid w:val="00336541"/>
    <w:rsid w:val="00341183"/>
    <w:rsid w:val="003416C3"/>
    <w:rsid w:val="00341CC3"/>
    <w:rsid w:val="0034719F"/>
    <w:rsid w:val="0035065C"/>
    <w:rsid w:val="00350E92"/>
    <w:rsid w:val="003521FC"/>
    <w:rsid w:val="0035531C"/>
    <w:rsid w:val="00356F72"/>
    <w:rsid w:val="003676DE"/>
    <w:rsid w:val="00371284"/>
    <w:rsid w:val="003746E6"/>
    <w:rsid w:val="00376283"/>
    <w:rsid w:val="00377190"/>
    <w:rsid w:val="00377C12"/>
    <w:rsid w:val="00380C9E"/>
    <w:rsid w:val="00380EEC"/>
    <w:rsid w:val="00382D99"/>
    <w:rsid w:val="0038738F"/>
    <w:rsid w:val="00392ED7"/>
    <w:rsid w:val="00397A98"/>
    <w:rsid w:val="003A0AFF"/>
    <w:rsid w:val="003A2294"/>
    <w:rsid w:val="003A4D57"/>
    <w:rsid w:val="003A572E"/>
    <w:rsid w:val="003A7CA5"/>
    <w:rsid w:val="003B0774"/>
    <w:rsid w:val="003B0D5F"/>
    <w:rsid w:val="003B11E3"/>
    <w:rsid w:val="003B4B82"/>
    <w:rsid w:val="003C292E"/>
    <w:rsid w:val="003C2B33"/>
    <w:rsid w:val="003C4BD6"/>
    <w:rsid w:val="003C6794"/>
    <w:rsid w:val="003C6B33"/>
    <w:rsid w:val="003C74C4"/>
    <w:rsid w:val="003D0274"/>
    <w:rsid w:val="003D2548"/>
    <w:rsid w:val="003D2863"/>
    <w:rsid w:val="003D58BC"/>
    <w:rsid w:val="003D6FE1"/>
    <w:rsid w:val="003E099A"/>
    <w:rsid w:val="003F0459"/>
    <w:rsid w:val="003F192C"/>
    <w:rsid w:val="003F25BF"/>
    <w:rsid w:val="003F496D"/>
    <w:rsid w:val="00402438"/>
    <w:rsid w:val="0041121A"/>
    <w:rsid w:val="004166E0"/>
    <w:rsid w:val="00417233"/>
    <w:rsid w:val="004228BB"/>
    <w:rsid w:val="00422A26"/>
    <w:rsid w:val="0042453E"/>
    <w:rsid w:val="004262C6"/>
    <w:rsid w:val="00430F81"/>
    <w:rsid w:val="00431E3D"/>
    <w:rsid w:val="00436EA0"/>
    <w:rsid w:val="00440B78"/>
    <w:rsid w:val="0044170D"/>
    <w:rsid w:val="00442061"/>
    <w:rsid w:val="00443B57"/>
    <w:rsid w:val="0044416E"/>
    <w:rsid w:val="00444F05"/>
    <w:rsid w:val="004458E8"/>
    <w:rsid w:val="00446117"/>
    <w:rsid w:val="00447EB8"/>
    <w:rsid w:val="0045028D"/>
    <w:rsid w:val="004509A8"/>
    <w:rsid w:val="004520D4"/>
    <w:rsid w:val="0045233F"/>
    <w:rsid w:val="00452FDD"/>
    <w:rsid w:val="00453C07"/>
    <w:rsid w:val="00456AC5"/>
    <w:rsid w:val="00462488"/>
    <w:rsid w:val="004656C2"/>
    <w:rsid w:val="00466EB9"/>
    <w:rsid w:val="00467616"/>
    <w:rsid w:val="00470A65"/>
    <w:rsid w:val="004722DC"/>
    <w:rsid w:val="00476D0B"/>
    <w:rsid w:val="00480B49"/>
    <w:rsid w:val="00481360"/>
    <w:rsid w:val="00483140"/>
    <w:rsid w:val="00483964"/>
    <w:rsid w:val="00486DD2"/>
    <w:rsid w:val="0048737C"/>
    <w:rsid w:val="004921E9"/>
    <w:rsid w:val="00492BEB"/>
    <w:rsid w:val="004948EE"/>
    <w:rsid w:val="00497489"/>
    <w:rsid w:val="004A0964"/>
    <w:rsid w:val="004A0C87"/>
    <w:rsid w:val="004A7D04"/>
    <w:rsid w:val="004B22C6"/>
    <w:rsid w:val="004C0F31"/>
    <w:rsid w:val="004C5FE4"/>
    <w:rsid w:val="004D75FF"/>
    <w:rsid w:val="004E10AB"/>
    <w:rsid w:val="004E37BD"/>
    <w:rsid w:val="004E6EC6"/>
    <w:rsid w:val="004F2D0E"/>
    <w:rsid w:val="004F73B7"/>
    <w:rsid w:val="004F7E7A"/>
    <w:rsid w:val="00500A63"/>
    <w:rsid w:val="00505D2C"/>
    <w:rsid w:val="005105C6"/>
    <w:rsid w:val="0051340B"/>
    <w:rsid w:val="00513FC6"/>
    <w:rsid w:val="00514F67"/>
    <w:rsid w:val="00516EC9"/>
    <w:rsid w:val="005174D9"/>
    <w:rsid w:val="00520CA0"/>
    <w:rsid w:val="005252E4"/>
    <w:rsid w:val="00531F9C"/>
    <w:rsid w:val="00532106"/>
    <w:rsid w:val="0053433A"/>
    <w:rsid w:val="00536D8C"/>
    <w:rsid w:val="00543F98"/>
    <w:rsid w:val="0054418D"/>
    <w:rsid w:val="00544613"/>
    <w:rsid w:val="00544B9E"/>
    <w:rsid w:val="00546EB2"/>
    <w:rsid w:val="005474B4"/>
    <w:rsid w:val="00550445"/>
    <w:rsid w:val="005515C7"/>
    <w:rsid w:val="00554269"/>
    <w:rsid w:val="00554D7D"/>
    <w:rsid w:val="00560A21"/>
    <w:rsid w:val="00560E38"/>
    <w:rsid w:val="00563481"/>
    <w:rsid w:val="00564A49"/>
    <w:rsid w:val="0057270E"/>
    <w:rsid w:val="0057397C"/>
    <w:rsid w:val="005744D4"/>
    <w:rsid w:val="00575F77"/>
    <w:rsid w:val="0058270D"/>
    <w:rsid w:val="00584776"/>
    <w:rsid w:val="00586F65"/>
    <w:rsid w:val="0058702D"/>
    <w:rsid w:val="00591F1F"/>
    <w:rsid w:val="005928C8"/>
    <w:rsid w:val="005953D5"/>
    <w:rsid w:val="005958F4"/>
    <w:rsid w:val="0059666C"/>
    <w:rsid w:val="005A0431"/>
    <w:rsid w:val="005A0FF8"/>
    <w:rsid w:val="005A187B"/>
    <w:rsid w:val="005A2528"/>
    <w:rsid w:val="005A32AB"/>
    <w:rsid w:val="005A636E"/>
    <w:rsid w:val="005B09D6"/>
    <w:rsid w:val="005B52AC"/>
    <w:rsid w:val="005B64A0"/>
    <w:rsid w:val="005B6D0B"/>
    <w:rsid w:val="005B78BC"/>
    <w:rsid w:val="005C0620"/>
    <w:rsid w:val="005C1B55"/>
    <w:rsid w:val="005C4DAF"/>
    <w:rsid w:val="005C4F1F"/>
    <w:rsid w:val="005D53A4"/>
    <w:rsid w:val="005D6A1E"/>
    <w:rsid w:val="005E145E"/>
    <w:rsid w:val="005E1C64"/>
    <w:rsid w:val="005F0DFA"/>
    <w:rsid w:val="005F3A5E"/>
    <w:rsid w:val="005F601C"/>
    <w:rsid w:val="005F676F"/>
    <w:rsid w:val="005F6E25"/>
    <w:rsid w:val="005F73C0"/>
    <w:rsid w:val="00605E03"/>
    <w:rsid w:val="006104E9"/>
    <w:rsid w:val="0061309B"/>
    <w:rsid w:val="00614729"/>
    <w:rsid w:val="00614E2E"/>
    <w:rsid w:val="00616CCC"/>
    <w:rsid w:val="00617851"/>
    <w:rsid w:val="006179BD"/>
    <w:rsid w:val="00617B32"/>
    <w:rsid w:val="00623F57"/>
    <w:rsid w:val="006254B6"/>
    <w:rsid w:val="00627BD9"/>
    <w:rsid w:val="00627D0A"/>
    <w:rsid w:val="00627FE1"/>
    <w:rsid w:val="0063504F"/>
    <w:rsid w:val="00635E7E"/>
    <w:rsid w:val="00641F2E"/>
    <w:rsid w:val="006440D1"/>
    <w:rsid w:val="00645D36"/>
    <w:rsid w:val="00645E45"/>
    <w:rsid w:val="00646403"/>
    <w:rsid w:val="006466F3"/>
    <w:rsid w:val="00651871"/>
    <w:rsid w:val="00656C39"/>
    <w:rsid w:val="0066204F"/>
    <w:rsid w:val="006638CD"/>
    <w:rsid w:val="00665F16"/>
    <w:rsid w:val="00667628"/>
    <w:rsid w:val="0067253D"/>
    <w:rsid w:val="0067304C"/>
    <w:rsid w:val="00674499"/>
    <w:rsid w:val="00677EDA"/>
    <w:rsid w:val="00685BD0"/>
    <w:rsid w:val="00692C04"/>
    <w:rsid w:val="00693733"/>
    <w:rsid w:val="0069437D"/>
    <w:rsid w:val="006952E4"/>
    <w:rsid w:val="006A0809"/>
    <w:rsid w:val="006A416C"/>
    <w:rsid w:val="006A7976"/>
    <w:rsid w:val="006B1927"/>
    <w:rsid w:val="006B666A"/>
    <w:rsid w:val="006B7A26"/>
    <w:rsid w:val="006C42A3"/>
    <w:rsid w:val="006C656B"/>
    <w:rsid w:val="006D2773"/>
    <w:rsid w:val="006D458F"/>
    <w:rsid w:val="006D48FD"/>
    <w:rsid w:val="006D7E9E"/>
    <w:rsid w:val="006E0F84"/>
    <w:rsid w:val="006E16BF"/>
    <w:rsid w:val="006E1913"/>
    <w:rsid w:val="006E2890"/>
    <w:rsid w:val="006E2A48"/>
    <w:rsid w:val="006E61B2"/>
    <w:rsid w:val="006F1CA3"/>
    <w:rsid w:val="00700848"/>
    <w:rsid w:val="007011A2"/>
    <w:rsid w:val="00713CE6"/>
    <w:rsid w:val="0071550F"/>
    <w:rsid w:val="007166FA"/>
    <w:rsid w:val="00720479"/>
    <w:rsid w:val="00720C0E"/>
    <w:rsid w:val="007217D3"/>
    <w:rsid w:val="007223E0"/>
    <w:rsid w:val="00726E9F"/>
    <w:rsid w:val="00727D56"/>
    <w:rsid w:val="0073400E"/>
    <w:rsid w:val="00734368"/>
    <w:rsid w:val="007355F7"/>
    <w:rsid w:val="007356DE"/>
    <w:rsid w:val="007418B2"/>
    <w:rsid w:val="0074253D"/>
    <w:rsid w:val="0074753A"/>
    <w:rsid w:val="007508F4"/>
    <w:rsid w:val="00750B04"/>
    <w:rsid w:val="007534B7"/>
    <w:rsid w:val="00754B55"/>
    <w:rsid w:val="00754E5A"/>
    <w:rsid w:val="007562C9"/>
    <w:rsid w:val="007608F0"/>
    <w:rsid w:val="0076270C"/>
    <w:rsid w:val="00764790"/>
    <w:rsid w:val="00766434"/>
    <w:rsid w:val="0077464A"/>
    <w:rsid w:val="00776291"/>
    <w:rsid w:val="00777712"/>
    <w:rsid w:val="007813FF"/>
    <w:rsid w:val="00781A7A"/>
    <w:rsid w:val="00781C1A"/>
    <w:rsid w:val="007833FF"/>
    <w:rsid w:val="0078390C"/>
    <w:rsid w:val="0078412F"/>
    <w:rsid w:val="00792827"/>
    <w:rsid w:val="007949EB"/>
    <w:rsid w:val="00795B9A"/>
    <w:rsid w:val="007A565F"/>
    <w:rsid w:val="007B0864"/>
    <w:rsid w:val="007B26A7"/>
    <w:rsid w:val="007B2D98"/>
    <w:rsid w:val="007B70FC"/>
    <w:rsid w:val="007B729A"/>
    <w:rsid w:val="007B78DE"/>
    <w:rsid w:val="007C67AF"/>
    <w:rsid w:val="007D20A4"/>
    <w:rsid w:val="007D6A7F"/>
    <w:rsid w:val="007E70BA"/>
    <w:rsid w:val="007F17D2"/>
    <w:rsid w:val="007F22B9"/>
    <w:rsid w:val="007F65B1"/>
    <w:rsid w:val="007F7DD8"/>
    <w:rsid w:val="008024A8"/>
    <w:rsid w:val="00802BCD"/>
    <w:rsid w:val="0080528D"/>
    <w:rsid w:val="0080593F"/>
    <w:rsid w:val="008112E7"/>
    <w:rsid w:val="00820B7D"/>
    <w:rsid w:val="00821DE7"/>
    <w:rsid w:val="00823FF2"/>
    <w:rsid w:val="008259F4"/>
    <w:rsid w:val="00826304"/>
    <w:rsid w:val="00826369"/>
    <w:rsid w:val="00831FE5"/>
    <w:rsid w:val="00832149"/>
    <w:rsid w:val="00835A99"/>
    <w:rsid w:val="00835CD8"/>
    <w:rsid w:val="00836012"/>
    <w:rsid w:val="00836D6F"/>
    <w:rsid w:val="0083772C"/>
    <w:rsid w:val="00841112"/>
    <w:rsid w:val="00842AE0"/>
    <w:rsid w:val="00843743"/>
    <w:rsid w:val="008555AC"/>
    <w:rsid w:val="00856712"/>
    <w:rsid w:val="0085704B"/>
    <w:rsid w:val="0086032C"/>
    <w:rsid w:val="00861EBB"/>
    <w:rsid w:val="008625ED"/>
    <w:rsid w:val="0086508F"/>
    <w:rsid w:val="0086526E"/>
    <w:rsid w:val="00867EC5"/>
    <w:rsid w:val="00874750"/>
    <w:rsid w:val="008768E1"/>
    <w:rsid w:val="0088214A"/>
    <w:rsid w:val="008862C4"/>
    <w:rsid w:val="008901AC"/>
    <w:rsid w:val="00893D2F"/>
    <w:rsid w:val="00895A5B"/>
    <w:rsid w:val="0089654D"/>
    <w:rsid w:val="0089701D"/>
    <w:rsid w:val="008A04CE"/>
    <w:rsid w:val="008A20A2"/>
    <w:rsid w:val="008B2BD5"/>
    <w:rsid w:val="008B3907"/>
    <w:rsid w:val="008C1D06"/>
    <w:rsid w:val="008C470E"/>
    <w:rsid w:val="008D0F70"/>
    <w:rsid w:val="008D1495"/>
    <w:rsid w:val="008D1EFE"/>
    <w:rsid w:val="008D2D90"/>
    <w:rsid w:val="008D2F99"/>
    <w:rsid w:val="008E326C"/>
    <w:rsid w:val="008E7DEC"/>
    <w:rsid w:val="0090047A"/>
    <w:rsid w:val="009046F3"/>
    <w:rsid w:val="009072E3"/>
    <w:rsid w:val="009103E1"/>
    <w:rsid w:val="00913179"/>
    <w:rsid w:val="00914E26"/>
    <w:rsid w:val="0092430B"/>
    <w:rsid w:val="00933C38"/>
    <w:rsid w:val="00934C7C"/>
    <w:rsid w:val="00934EB2"/>
    <w:rsid w:val="00940F4F"/>
    <w:rsid w:val="009434D1"/>
    <w:rsid w:val="009446C0"/>
    <w:rsid w:val="00944A38"/>
    <w:rsid w:val="00945A8A"/>
    <w:rsid w:val="00947C41"/>
    <w:rsid w:val="009501E7"/>
    <w:rsid w:val="009533AD"/>
    <w:rsid w:val="00954DF5"/>
    <w:rsid w:val="00964545"/>
    <w:rsid w:val="00965724"/>
    <w:rsid w:val="00966101"/>
    <w:rsid w:val="009708CE"/>
    <w:rsid w:val="00972363"/>
    <w:rsid w:val="009728FD"/>
    <w:rsid w:val="009761AF"/>
    <w:rsid w:val="00977A11"/>
    <w:rsid w:val="00987E9C"/>
    <w:rsid w:val="009948F4"/>
    <w:rsid w:val="00994DE7"/>
    <w:rsid w:val="00996E44"/>
    <w:rsid w:val="00996FAB"/>
    <w:rsid w:val="009A3F54"/>
    <w:rsid w:val="009A4A15"/>
    <w:rsid w:val="009A7CFB"/>
    <w:rsid w:val="009B0655"/>
    <w:rsid w:val="009B2207"/>
    <w:rsid w:val="009B23B8"/>
    <w:rsid w:val="009B3F8F"/>
    <w:rsid w:val="009B5865"/>
    <w:rsid w:val="009C2145"/>
    <w:rsid w:val="009C392C"/>
    <w:rsid w:val="009C6075"/>
    <w:rsid w:val="009C6411"/>
    <w:rsid w:val="009C71DC"/>
    <w:rsid w:val="009C7972"/>
    <w:rsid w:val="009C7B89"/>
    <w:rsid w:val="009D14E2"/>
    <w:rsid w:val="009D316D"/>
    <w:rsid w:val="009D6F98"/>
    <w:rsid w:val="009E154A"/>
    <w:rsid w:val="009E41DD"/>
    <w:rsid w:val="009E4C6E"/>
    <w:rsid w:val="009E7475"/>
    <w:rsid w:val="009F1C3A"/>
    <w:rsid w:val="009F263C"/>
    <w:rsid w:val="009F288A"/>
    <w:rsid w:val="009F3893"/>
    <w:rsid w:val="009F52D6"/>
    <w:rsid w:val="009F65F6"/>
    <w:rsid w:val="009F6981"/>
    <w:rsid w:val="00A009C0"/>
    <w:rsid w:val="00A011E7"/>
    <w:rsid w:val="00A060CD"/>
    <w:rsid w:val="00A06C24"/>
    <w:rsid w:val="00A10271"/>
    <w:rsid w:val="00A11167"/>
    <w:rsid w:val="00A1184F"/>
    <w:rsid w:val="00A163B0"/>
    <w:rsid w:val="00A21582"/>
    <w:rsid w:val="00A21E7D"/>
    <w:rsid w:val="00A233D8"/>
    <w:rsid w:val="00A24588"/>
    <w:rsid w:val="00A2570B"/>
    <w:rsid w:val="00A30487"/>
    <w:rsid w:val="00A310A3"/>
    <w:rsid w:val="00A3772D"/>
    <w:rsid w:val="00A40778"/>
    <w:rsid w:val="00A407DB"/>
    <w:rsid w:val="00A41F50"/>
    <w:rsid w:val="00A43A68"/>
    <w:rsid w:val="00A43DAD"/>
    <w:rsid w:val="00A4594B"/>
    <w:rsid w:val="00A471D8"/>
    <w:rsid w:val="00A47786"/>
    <w:rsid w:val="00A527CE"/>
    <w:rsid w:val="00A533A9"/>
    <w:rsid w:val="00A537A4"/>
    <w:rsid w:val="00A56FE6"/>
    <w:rsid w:val="00A6101C"/>
    <w:rsid w:val="00A64570"/>
    <w:rsid w:val="00A65352"/>
    <w:rsid w:val="00A66379"/>
    <w:rsid w:val="00A7244D"/>
    <w:rsid w:val="00A73D61"/>
    <w:rsid w:val="00A742AC"/>
    <w:rsid w:val="00A74E93"/>
    <w:rsid w:val="00A76333"/>
    <w:rsid w:val="00A77079"/>
    <w:rsid w:val="00A776CE"/>
    <w:rsid w:val="00A853FB"/>
    <w:rsid w:val="00A85449"/>
    <w:rsid w:val="00A85E93"/>
    <w:rsid w:val="00A8654A"/>
    <w:rsid w:val="00A8678C"/>
    <w:rsid w:val="00A95912"/>
    <w:rsid w:val="00A97635"/>
    <w:rsid w:val="00AA6620"/>
    <w:rsid w:val="00AB1F46"/>
    <w:rsid w:val="00AB26C3"/>
    <w:rsid w:val="00AB4AA9"/>
    <w:rsid w:val="00AB6548"/>
    <w:rsid w:val="00AB6661"/>
    <w:rsid w:val="00AC13A3"/>
    <w:rsid w:val="00AC458E"/>
    <w:rsid w:val="00AC58FB"/>
    <w:rsid w:val="00AC5C5D"/>
    <w:rsid w:val="00AC62C5"/>
    <w:rsid w:val="00AC7BB0"/>
    <w:rsid w:val="00AD0F8D"/>
    <w:rsid w:val="00AD5CF8"/>
    <w:rsid w:val="00AE273A"/>
    <w:rsid w:val="00AE4018"/>
    <w:rsid w:val="00AE62E1"/>
    <w:rsid w:val="00AF0088"/>
    <w:rsid w:val="00AF0D90"/>
    <w:rsid w:val="00AF524A"/>
    <w:rsid w:val="00AF56F0"/>
    <w:rsid w:val="00AF6618"/>
    <w:rsid w:val="00B00E43"/>
    <w:rsid w:val="00B01C08"/>
    <w:rsid w:val="00B0201D"/>
    <w:rsid w:val="00B02127"/>
    <w:rsid w:val="00B02E0D"/>
    <w:rsid w:val="00B0347E"/>
    <w:rsid w:val="00B036FB"/>
    <w:rsid w:val="00B04C11"/>
    <w:rsid w:val="00B079FF"/>
    <w:rsid w:val="00B1004D"/>
    <w:rsid w:val="00B10601"/>
    <w:rsid w:val="00B12149"/>
    <w:rsid w:val="00B1313B"/>
    <w:rsid w:val="00B16DC1"/>
    <w:rsid w:val="00B20241"/>
    <w:rsid w:val="00B22039"/>
    <w:rsid w:val="00B229EE"/>
    <w:rsid w:val="00B24720"/>
    <w:rsid w:val="00B26813"/>
    <w:rsid w:val="00B27456"/>
    <w:rsid w:val="00B3127C"/>
    <w:rsid w:val="00B330B0"/>
    <w:rsid w:val="00B3380D"/>
    <w:rsid w:val="00B3450A"/>
    <w:rsid w:val="00B35023"/>
    <w:rsid w:val="00B3751C"/>
    <w:rsid w:val="00B44ECF"/>
    <w:rsid w:val="00B45E73"/>
    <w:rsid w:val="00B460E6"/>
    <w:rsid w:val="00B46BD7"/>
    <w:rsid w:val="00B46D4C"/>
    <w:rsid w:val="00B47B6E"/>
    <w:rsid w:val="00B505C8"/>
    <w:rsid w:val="00B534E2"/>
    <w:rsid w:val="00B53D1C"/>
    <w:rsid w:val="00B55B72"/>
    <w:rsid w:val="00B55C46"/>
    <w:rsid w:val="00B566B6"/>
    <w:rsid w:val="00B60DF6"/>
    <w:rsid w:val="00B60E83"/>
    <w:rsid w:val="00B622F8"/>
    <w:rsid w:val="00B63B10"/>
    <w:rsid w:val="00B63F2C"/>
    <w:rsid w:val="00B64462"/>
    <w:rsid w:val="00B667B2"/>
    <w:rsid w:val="00B67595"/>
    <w:rsid w:val="00B67D9A"/>
    <w:rsid w:val="00B70177"/>
    <w:rsid w:val="00B71AD4"/>
    <w:rsid w:val="00B734B4"/>
    <w:rsid w:val="00B77A4E"/>
    <w:rsid w:val="00B836EA"/>
    <w:rsid w:val="00B92A68"/>
    <w:rsid w:val="00B92E70"/>
    <w:rsid w:val="00B935C0"/>
    <w:rsid w:val="00B94B9A"/>
    <w:rsid w:val="00B96585"/>
    <w:rsid w:val="00BA14B2"/>
    <w:rsid w:val="00BA45CB"/>
    <w:rsid w:val="00BA6AF6"/>
    <w:rsid w:val="00BB7240"/>
    <w:rsid w:val="00BC0754"/>
    <w:rsid w:val="00BC344E"/>
    <w:rsid w:val="00BC69BC"/>
    <w:rsid w:val="00BC7454"/>
    <w:rsid w:val="00BD3A66"/>
    <w:rsid w:val="00BD3F4A"/>
    <w:rsid w:val="00BD588E"/>
    <w:rsid w:val="00BD6052"/>
    <w:rsid w:val="00BD6D45"/>
    <w:rsid w:val="00BE21B1"/>
    <w:rsid w:val="00BE260D"/>
    <w:rsid w:val="00BE5100"/>
    <w:rsid w:val="00BE598E"/>
    <w:rsid w:val="00BE59E5"/>
    <w:rsid w:val="00BE7B2B"/>
    <w:rsid w:val="00BF00DC"/>
    <w:rsid w:val="00BF0868"/>
    <w:rsid w:val="00BF4647"/>
    <w:rsid w:val="00BF58B0"/>
    <w:rsid w:val="00BF66FB"/>
    <w:rsid w:val="00BF6B11"/>
    <w:rsid w:val="00BF743F"/>
    <w:rsid w:val="00BF7709"/>
    <w:rsid w:val="00BF7A68"/>
    <w:rsid w:val="00C00F71"/>
    <w:rsid w:val="00C014FB"/>
    <w:rsid w:val="00C02A55"/>
    <w:rsid w:val="00C04BFD"/>
    <w:rsid w:val="00C10BE8"/>
    <w:rsid w:val="00C157AC"/>
    <w:rsid w:val="00C16D7A"/>
    <w:rsid w:val="00C20843"/>
    <w:rsid w:val="00C26AB9"/>
    <w:rsid w:val="00C315D0"/>
    <w:rsid w:val="00C31A00"/>
    <w:rsid w:val="00C37BA8"/>
    <w:rsid w:val="00C445F2"/>
    <w:rsid w:val="00C52038"/>
    <w:rsid w:val="00C53166"/>
    <w:rsid w:val="00C5327F"/>
    <w:rsid w:val="00C5533F"/>
    <w:rsid w:val="00C578D1"/>
    <w:rsid w:val="00C62918"/>
    <w:rsid w:val="00C6299C"/>
    <w:rsid w:val="00C64865"/>
    <w:rsid w:val="00C651BE"/>
    <w:rsid w:val="00C7109A"/>
    <w:rsid w:val="00C75C28"/>
    <w:rsid w:val="00C769EE"/>
    <w:rsid w:val="00C80468"/>
    <w:rsid w:val="00C80A64"/>
    <w:rsid w:val="00C81215"/>
    <w:rsid w:val="00C842E7"/>
    <w:rsid w:val="00C86E43"/>
    <w:rsid w:val="00C87C95"/>
    <w:rsid w:val="00CA0359"/>
    <w:rsid w:val="00CA0B2F"/>
    <w:rsid w:val="00CA1A25"/>
    <w:rsid w:val="00CA2E08"/>
    <w:rsid w:val="00CA3517"/>
    <w:rsid w:val="00CA37E0"/>
    <w:rsid w:val="00CA51E7"/>
    <w:rsid w:val="00CA5582"/>
    <w:rsid w:val="00CA632C"/>
    <w:rsid w:val="00CB036E"/>
    <w:rsid w:val="00CB0608"/>
    <w:rsid w:val="00CB0EBB"/>
    <w:rsid w:val="00CB1E05"/>
    <w:rsid w:val="00CB27D1"/>
    <w:rsid w:val="00CB331D"/>
    <w:rsid w:val="00CB4C2C"/>
    <w:rsid w:val="00CB6814"/>
    <w:rsid w:val="00CB695F"/>
    <w:rsid w:val="00CC02BD"/>
    <w:rsid w:val="00CC10CD"/>
    <w:rsid w:val="00CC57B7"/>
    <w:rsid w:val="00CC62C5"/>
    <w:rsid w:val="00CD1A80"/>
    <w:rsid w:val="00CD2ADE"/>
    <w:rsid w:val="00CD35D8"/>
    <w:rsid w:val="00CD5F34"/>
    <w:rsid w:val="00CD73B6"/>
    <w:rsid w:val="00CE0AC0"/>
    <w:rsid w:val="00CE0E41"/>
    <w:rsid w:val="00CE51A4"/>
    <w:rsid w:val="00CF0341"/>
    <w:rsid w:val="00CF13AF"/>
    <w:rsid w:val="00CF4F0B"/>
    <w:rsid w:val="00CF5CB0"/>
    <w:rsid w:val="00CF69C2"/>
    <w:rsid w:val="00D0059C"/>
    <w:rsid w:val="00D0160A"/>
    <w:rsid w:val="00D04ED9"/>
    <w:rsid w:val="00D1056B"/>
    <w:rsid w:val="00D10FB1"/>
    <w:rsid w:val="00D11389"/>
    <w:rsid w:val="00D157C2"/>
    <w:rsid w:val="00D2127D"/>
    <w:rsid w:val="00D24959"/>
    <w:rsid w:val="00D31582"/>
    <w:rsid w:val="00D36102"/>
    <w:rsid w:val="00D36274"/>
    <w:rsid w:val="00D40CB2"/>
    <w:rsid w:val="00D43F80"/>
    <w:rsid w:val="00D44A64"/>
    <w:rsid w:val="00D44DCA"/>
    <w:rsid w:val="00D5117A"/>
    <w:rsid w:val="00D553E9"/>
    <w:rsid w:val="00D55573"/>
    <w:rsid w:val="00D621FD"/>
    <w:rsid w:val="00D62636"/>
    <w:rsid w:val="00D629AD"/>
    <w:rsid w:val="00D63455"/>
    <w:rsid w:val="00D65DC6"/>
    <w:rsid w:val="00D66EA2"/>
    <w:rsid w:val="00D70503"/>
    <w:rsid w:val="00D714A3"/>
    <w:rsid w:val="00D75CB4"/>
    <w:rsid w:val="00D7722D"/>
    <w:rsid w:val="00D774CD"/>
    <w:rsid w:val="00D80D9E"/>
    <w:rsid w:val="00D82176"/>
    <w:rsid w:val="00D8230F"/>
    <w:rsid w:val="00D86505"/>
    <w:rsid w:val="00D86728"/>
    <w:rsid w:val="00D91657"/>
    <w:rsid w:val="00D97CA3"/>
    <w:rsid w:val="00DA0320"/>
    <w:rsid w:val="00DA3B2F"/>
    <w:rsid w:val="00DA47C6"/>
    <w:rsid w:val="00DA5244"/>
    <w:rsid w:val="00DB03E1"/>
    <w:rsid w:val="00DB3044"/>
    <w:rsid w:val="00DB51F9"/>
    <w:rsid w:val="00DC45BA"/>
    <w:rsid w:val="00DC7C14"/>
    <w:rsid w:val="00DD0D62"/>
    <w:rsid w:val="00DD18AD"/>
    <w:rsid w:val="00DE13AF"/>
    <w:rsid w:val="00DE4E00"/>
    <w:rsid w:val="00DE721D"/>
    <w:rsid w:val="00DE7D1B"/>
    <w:rsid w:val="00E00C13"/>
    <w:rsid w:val="00E016F6"/>
    <w:rsid w:val="00E02428"/>
    <w:rsid w:val="00E06987"/>
    <w:rsid w:val="00E10B52"/>
    <w:rsid w:val="00E11AC2"/>
    <w:rsid w:val="00E176DD"/>
    <w:rsid w:val="00E1790B"/>
    <w:rsid w:val="00E20439"/>
    <w:rsid w:val="00E207BC"/>
    <w:rsid w:val="00E215BB"/>
    <w:rsid w:val="00E22ACF"/>
    <w:rsid w:val="00E26795"/>
    <w:rsid w:val="00E276F0"/>
    <w:rsid w:val="00E30603"/>
    <w:rsid w:val="00E33B48"/>
    <w:rsid w:val="00E36556"/>
    <w:rsid w:val="00E36FC5"/>
    <w:rsid w:val="00E415C8"/>
    <w:rsid w:val="00E42CD1"/>
    <w:rsid w:val="00E44BC0"/>
    <w:rsid w:val="00E46461"/>
    <w:rsid w:val="00E5064D"/>
    <w:rsid w:val="00E54E29"/>
    <w:rsid w:val="00E64007"/>
    <w:rsid w:val="00E64E4F"/>
    <w:rsid w:val="00E65804"/>
    <w:rsid w:val="00E769FE"/>
    <w:rsid w:val="00E7702A"/>
    <w:rsid w:val="00E827EA"/>
    <w:rsid w:val="00E85837"/>
    <w:rsid w:val="00E859ED"/>
    <w:rsid w:val="00E8709A"/>
    <w:rsid w:val="00E92948"/>
    <w:rsid w:val="00E93F1B"/>
    <w:rsid w:val="00E958C4"/>
    <w:rsid w:val="00E95E3C"/>
    <w:rsid w:val="00E97500"/>
    <w:rsid w:val="00E97A35"/>
    <w:rsid w:val="00EA01CA"/>
    <w:rsid w:val="00EA0A6E"/>
    <w:rsid w:val="00EA390E"/>
    <w:rsid w:val="00EA73BE"/>
    <w:rsid w:val="00EA7A6C"/>
    <w:rsid w:val="00EA7EE8"/>
    <w:rsid w:val="00EB1A22"/>
    <w:rsid w:val="00EB49AB"/>
    <w:rsid w:val="00EB6013"/>
    <w:rsid w:val="00EB6D8B"/>
    <w:rsid w:val="00EB6E3F"/>
    <w:rsid w:val="00EC0213"/>
    <w:rsid w:val="00EC26F6"/>
    <w:rsid w:val="00EC2A51"/>
    <w:rsid w:val="00EC4E06"/>
    <w:rsid w:val="00EC5C7D"/>
    <w:rsid w:val="00EC61CF"/>
    <w:rsid w:val="00EC6337"/>
    <w:rsid w:val="00EC7A70"/>
    <w:rsid w:val="00ED1D21"/>
    <w:rsid w:val="00ED24FF"/>
    <w:rsid w:val="00ED2CB2"/>
    <w:rsid w:val="00ED4D73"/>
    <w:rsid w:val="00ED64B6"/>
    <w:rsid w:val="00EE0C5D"/>
    <w:rsid w:val="00EE498C"/>
    <w:rsid w:val="00EF178D"/>
    <w:rsid w:val="00EF195D"/>
    <w:rsid w:val="00EF3484"/>
    <w:rsid w:val="00EF3D59"/>
    <w:rsid w:val="00EF54BF"/>
    <w:rsid w:val="00EF7AC9"/>
    <w:rsid w:val="00F0036C"/>
    <w:rsid w:val="00F04D32"/>
    <w:rsid w:val="00F114D8"/>
    <w:rsid w:val="00F13643"/>
    <w:rsid w:val="00F14F04"/>
    <w:rsid w:val="00F179A7"/>
    <w:rsid w:val="00F21522"/>
    <w:rsid w:val="00F22559"/>
    <w:rsid w:val="00F227D1"/>
    <w:rsid w:val="00F23169"/>
    <w:rsid w:val="00F260A0"/>
    <w:rsid w:val="00F35612"/>
    <w:rsid w:val="00F35FAE"/>
    <w:rsid w:val="00F37321"/>
    <w:rsid w:val="00F37E5A"/>
    <w:rsid w:val="00F37FC9"/>
    <w:rsid w:val="00F41B54"/>
    <w:rsid w:val="00F502D0"/>
    <w:rsid w:val="00F50E21"/>
    <w:rsid w:val="00F517CB"/>
    <w:rsid w:val="00F5204A"/>
    <w:rsid w:val="00F53CD2"/>
    <w:rsid w:val="00F54C0B"/>
    <w:rsid w:val="00F553CA"/>
    <w:rsid w:val="00F5716A"/>
    <w:rsid w:val="00F57FD9"/>
    <w:rsid w:val="00F60EF9"/>
    <w:rsid w:val="00F618FA"/>
    <w:rsid w:val="00F646F1"/>
    <w:rsid w:val="00F67866"/>
    <w:rsid w:val="00F73B5B"/>
    <w:rsid w:val="00F755CE"/>
    <w:rsid w:val="00F77C25"/>
    <w:rsid w:val="00F81BE8"/>
    <w:rsid w:val="00F82B64"/>
    <w:rsid w:val="00F830B3"/>
    <w:rsid w:val="00F83946"/>
    <w:rsid w:val="00F843E3"/>
    <w:rsid w:val="00F8454B"/>
    <w:rsid w:val="00F84DD3"/>
    <w:rsid w:val="00F85B88"/>
    <w:rsid w:val="00F92A49"/>
    <w:rsid w:val="00F94356"/>
    <w:rsid w:val="00F95CDE"/>
    <w:rsid w:val="00F96205"/>
    <w:rsid w:val="00FA070C"/>
    <w:rsid w:val="00FA20B6"/>
    <w:rsid w:val="00FA38C0"/>
    <w:rsid w:val="00FA52F7"/>
    <w:rsid w:val="00FA5807"/>
    <w:rsid w:val="00FA6477"/>
    <w:rsid w:val="00FA7103"/>
    <w:rsid w:val="00FA7F42"/>
    <w:rsid w:val="00FB1E71"/>
    <w:rsid w:val="00FB2466"/>
    <w:rsid w:val="00FB3570"/>
    <w:rsid w:val="00FB63DC"/>
    <w:rsid w:val="00FB7A64"/>
    <w:rsid w:val="00FC1890"/>
    <w:rsid w:val="00FC799A"/>
    <w:rsid w:val="00FD0ABE"/>
    <w:rsid w:val="00FD1E2F"/>
    <w:rsid w:val="00FD6538"/>
    <w:rsid w:val="00FD6B8D"/>
    <w:rsid w:val="00FE2FF6"/>
    <w:rsid w:val="00FE3B8E"/>
    <w:rsid w:val="00FE444D"/>
    <w:rsid w:val="00FE499E"/>
    <w:rsid w:val="00FF009A"/>
    <w:rsid w:val="00FF0228"/>
    <w:rsid w:val="00FF5E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39F0"/>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CB036E"/>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487064146">
      <w:bodyDiv w:val="1"/>
      <w:marLeft w:val="0"/>
      <w:marRight w:val="0"/>
      <w:marTop w:val="0"/>
      <w:marBottom w:val="0"/>
      <w:divBdr>
        <w:top w:val="none" w:sz="0" w:space="0" w:color="auto"/>
        <w:left w:val="none" w:sz="0" w:space="0" w:color="auto"/>
        <w:bottom w:val="none" w:sz="0" w:space="0" w:color="auto"/>
        <w:right w:val="none" w:sz="0" w:space="0" w:color="auto"/>
      </w:divBdr>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9A6A9-82D0-48E3-A0D1-5569108D5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20749</TotalTime>
  <Pages>2</Pages>
  <Words>799</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286</cp:revision>
  <dcterms:created xsi:type="dcterms:W3CDTF">2019-10-04T18:09:00Z</dcterms:created>
  <dcterms:modified xsi:type="dcterms:W3CDTF">2022-11-07T14:00:00Z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1650885086</vt:lpwstr>
  </property>
</Properties>
</file>